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A63348" w14:textId="77777777" w:rsidR="00A5325C" w:rsidRPr="00A5325C" w:rsidRDefault="00A5325C" w:rsidP="00A5325C">
      <w:pPr>
        <w:spacing w:before="100" w:beforeAutospacing="1" w:after="100" w:afterAutospacing="1" w:line="240" w:lineRule="auto"/>
        <w:outlineLvl w:val="0"/>
        <w:rPr>
          <w:rFonts w:ascii="Tajawal" w:eastAsia="Times New Roman" w:hAnsi="Tajawal" w:cs="Tajawal"/>
          <w:color w:val="000000"/>
          <w:kern w:val="36"/>
          <w:sz w:val="48"/>
          <w:szCs w:val="48"/>
          <w:lang w:val="en-YE"/>
        </w:rPr>
      </w:pPr>
      <w:r w:rsidRPr="00A5325C">
        <w:rPr>
          <w:rFonts w:ascii="Tajawal" w:eastAsia="Times New Roman" w:hAnsi="Tajawal" w:cs="Tajawal" w:hint="cs"/>
          <w:color w:val="000000"/>
          <w:kern w:val="36"/>
          <w:sz w:val="48"/>
          <w:szCs w:val="48"/>
          <w:lang w:val="en-YE"/>
        </w:rPr>
        <w:t>SNPL: From Traditional Roots to a Digital Future</w:t>
      </w:r>
    </w:p>
    <w:p w14:paraId="300A1412" w14:textId="77777777" w:rsidR="00A5325C" w:rsidRPr="00A5325C" w:rsidRDefault="00A5325C" w:rsidP="00A5325C">
      <w:p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Send Now, Pay Later (SNPL) is a modern financial innovation with roots in traditional systems like layaway plans and credit cards. While these older models offered deferred payments in physical retail environments, the digital transformation of SNPL has elevated the concept to new heights.</w:t>
      </w:r>
    </w:p>
    <w:p w14:paraId="0DB0B1E3" w14:textId="77777777" w:rsidR="00A5325C" w:rsidRPr="00A5325C" w:rsidRDefault="00A5325C" w:rsidP="00A5325C">
      <w:p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Early adopters leveraged online platforms to allow users to split payments or defer them entirely, aligning perfectly with the growth of e-commerce. As fintech companies emerged, they transformed SNPL into a mainstream solution by introducing:</w:t>
      </w:r>
    </w:p>
    <w:p w14:paraId="4EA4FF8C" w14:textId="77777777" w:rsidR="00A5325C" w:rsidRPr="00A5325C" w:rsidRDefault="00A5325C" w:rsidP="00A5325C">
      <w:pPr>
        <w:numPr>
          <w:ilvl w:val="0"/>
          <w:numId w:val="5"/>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Intuitive user interfaces</w:t>
      </w:r>
    </w:p>
    <w:p w14:paraId="2AEC6C89" w14:textId="77777777" w:rsidR="00A5325C" w:rsidRPr="00A5325C" w:rsidRDefault="00A5325C" w:rsidP="00A5325C">
      <w:pPr>
        <w:numPr>
          <w:ilvl w:val="0"/>
          <w:numId w:val="5"/>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Advanced security measures</w:t>
      </w:r>
    </w:p>
    <w:p w14:paraId="4B0C92F8" w14:textId="77777777" w:rsidR="00A5325C" w:rsidRPr="00A5325C" w:rsidRDefault="00A5325C" w:rsidP="00A5325C">
      <w:pPr>
        <w:numPr>
          <w:ilvl w:val="0"/>
          <w:numId w:val="5"/>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Flexible repayment plans</w:t>
      </w:r>
    </w:p>
    <w:p w14:paraId="3C6F0DB5" w14:textId="77777777" w:rsidR="00A5325C" w:rsidRPr="00A5325C" w:rsidRDefault="00A5325C" w:rsidP="00A5325C">
      <w:p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These features distinguish SNPL from traditional loans and other rigid financial arrangements. However, most SNPL services today focus on C2B and B2B transactions, leaving a new frontier open for innovation: P2P cross-border payments.</w:t>
      </w:r>
    </w:p>
    <w:p w14:paraId="0B6DBBE3" w14:textId="77777777" w:rsidR="00A5325C" w:rsidRPr="00A5325C" w:rsidRDefault="00E707B4" w:rsidP="00A5325C">
      <w:pPr>
        <w:spacing w:line="240" w:lineRule="auto"/>
        <w:rPr>
          <w:rFonts w:ascii="Tajawal" w:eastAsia="Times New Roman" w:hAnsi="Tajawal" w:cs="Tajawal"/>
          <w:sz w:val="24"/>
          <w:szCs w:val="24"/>
          <w:lang w:val="en-YE"/>
        </w:rPr>
      </w:pPr>
      <w:r>
        <w:rPr>
          <w:noProof/>
        </w:rPr>
      </w:r>
      <w:r>
        <w:pict w14:anchorId="2F83B2FA">
          <v:rect id="Horizontal Line 1" o:spid="_x0000_s1042"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" fillcolor="black" stroked="f">
            <o:lock v:ext="edit" rotation="t" aspectratio="t" verticies="t" text="t" shapetype="t"/>
            <w10:anchorlock/>
          </v:rect>
        </w:pict>
      </w:r>
    </w:p>
    <w:p w14:paraId="0BCDB2DC" w14:textId="77777777" w:rsidR="00A5325C" w:rsidRPr="00A5325C" w:rsidRDefault="00A5325C" w:rsidP="00A5325C">
      <w:pPr>
        <w:spacing w:before="100" w:beforeAutospacing="1" w:after="100" w:afterAutospacing="1" w:line="240" w:lineRule="auto"/>
        <w:outlineLvl w:val="0"/>
        <w:rPr>
          <w:rFonts w:ascii="Tajawal" w:eastAsia="Times New Roman" w:hAnsi="Tajawal" w:cs="Tajawal"/>
          <w:color w:val="000000"/>
          <w:kern w:val="36"/>
          <w:sz w:val="48"/>
          <w:szCs w:val="48"/>
          <w:lang w:val="en-YE"/>
        </w:rPr>
      </w:pPr>
      <w:r w:rsidRPr="00A5325C">
        <w:rPr>
          <w:rFonts w:ascii="Tajawal" w:eastAsia="Times New Roman" w:hAnsi="Tajawal" w:cs="Tajawal" w:hint="cs"/>
          <w:color w:val="000000"/>
          <w:kern w:val="36"/>
          <w:sz w:val="48"/>
          <w:szCs w:val="48"/>
          <w:lang w:val="en-YE"/>
        </w:rPr>
        <w:t>The Evolution of SNPL in Cross-Border P2P Payments</w:t>
      </w:r>
    </w:p>
    <w:p w14:paraId="6D5348A8" w14:textId="77777777" w:rsidR="00A5325C" w:rsidRPr="00A5325C" w:rsidRDefault="00A5325C" w:rsidP="00A5325C">
      <w:pPr>
        <w:spacing w:before="100" w:beforeAutospacing="1" w:after="100" w:afterAutospacing="1" w:line="240" w:lineRule="auto"/>
        <w:outlineLvl w:val="1"/>
        <w:rPr>
          <w:rFonts w:ascii="Tajawal" w:eastAsia="Times New Roman" w:hAnsi="Tajawal" w:cs="Tajawal"/>
          <w:color w:val="000000"/>
          <w:sz w:val="36"/>
          <w:szCs w:val="36"/>
          <w:lang w:val="en-YE"/>
        </w:rPr>
      </w:pPr>
      <w:r w:rsidRPr="00A5325C">
        <w:rPr>
          <w:rFonts w:ascii="Tajawal" w:eastAsia="Times New Roman" w:hAnsi="Tajawal" w:cs="Tajawal" w:hint="cs"/>
          <w:color w:val="000000"/>
          <w:sz w:val="36"/>
          <w:szCs w:val="36"/>
          <w:lang w:val="en-YE"/>
        </w:rPr>
        <w:t>1. Introduction</w:t>
      </w:r>
    </w:p>
    <w:p w14:paraId="2F1751B7" w14:textId="115BB596" w:rsidR="00A5325C" w:rsidRPr="00A5325C" w:rsidRDefault="00A5325C" w:rsidP="00A5325C">
      <w:p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SNPL represents the next generation of flexible financial solutions, enabling users to send money without immediate full payment.</w:t>
      </w:r>
    </w:p>
    <w:p w14:paraId="2CA6968C" w14:textId="77777777" w:rsidR="00A5325C" w:rsidRPr="00A5325C" w:rsidRDefault="00A5325C" w:rsidP="00A5325C">
      <w:p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With over 281 million international migrants worldwide and remittances exceeding $860 billion annually (World Bank 2024), the global remittance market is ripe for transformation. SNPL can bridge the gap between instant money transfer and cash-flow flexibility by allowing users to send funds immediately while deferring their own payment obligations.</w:t>
      </w:r>
    </w:p>
    <w:p w14:paraId="0DEA5420" w14:textId="77777777" w:rsidR="00A5325C" w:rsidRPr="00A5325C" w:rsidRDefault="00E707B4" w:rsidP="00A5325C">
      <w:pPr>
        <w:spacing w:line="240" w:lineRule="auto"/>
        <w:rPr>
          <w:rFonts w:ascii="Tajawal" w:eastAsia="Times New Roman" w:hAnsi="Tajawal" w:cs="Tajawal"/>
          <w:sz w:val="24"/>
          <w:szCs w:val="24"/>
          <w:lang w:val="en-YE"/>
        </w:rPr>
      </w:pPr>
      <w:r>
        <w:rPr>
          <w:noProof/>
        </w:rPr>
      </w:r>
      <w:r>
        <w:pict w14:anchorId="642DB133">
          <v:rect id="Horizontal Line 2" o:spid="_x0000_s1041"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" fillcolor="black" stroked="f">
            <o:lock v:ext="edit" rotation="t" aspectratio="t" verticies="t" text="t" shapetype="t"/>
            <w10:anchorlock/>
          </v:rect>
        </w:pict>
      </w:r>
    </w:p>
    <w:p w14:paraId="1251BA5C" w14:textId="77777777" w:rsidR="005A1935" w:rsidRDefault="005A1935" w:rsidP="00A5325C">
      <w:pPr>
        <w:spacing w:before="100" w:beforeAutospacing="1" w:after="100" w:afterAutospacing="1" w:line="240" w:lineRule="auto"/>
        <w:outlineLvl w:val="1"/>
        <w:rPr>
          <w:rFonts w:ascii="Tajawal" w:eastAsia="Times New Roman" w:hAnsi="Tajawal" w:cs="Tajawal"/>
          <w:color w:val="000000"/>
          <w:sz w:val="36"/>
          <w:szCs w:val="36"/>
          <w:lang w:val="en-YE"/>
        </w:rPr>
      </w:pPr>
    </w:p>
    <w:p w14:paraId="71AA0C3D" w14:textId="0651FC89" w:rsidR="00A5325C" w:rsidRPr="00A5325C" w:rsidRDefault="00A5325C" w:rsidP="00A5325C">
      <w:pPr>
        <w:spacing w:before="100" w:beforeAutospacing="1" w:after="100" w:afterAutospacing="1" w:line="240" w:lineRule="auto"/>
        <w:outlineLvl w:val="1"/>
        <w:rPr>
          <w:rFonts w:ascii="Tajawal" w:eastAsia="Times New Roman" w:hAnsi="Tajawal" w:cs="Tajawal"/>
          <w:color w:val="000000"/>
          <w:sz w:val="36"/>
          <w:szCs w:val="36"/>
          <w:lang w:val="en-YE"/>
        </w:rPr>
      </w:pPr>
      <w:r w:rsidRPr="00A5325C">
        <w:rPr>
          <w:rFonts w:ascii="Tajawal" w:eastAsia="Times New Roman" w:hAnsi="Tajawal" w:cs="Tajawal" w:hint="cs"/>
          <w:color w:val="000000"/>
          <w:sz w:val="36"/>
          <w:szCs w:val="36"/>
          <w:lang w:val="en-YE"/>
        </w:rPr>
        <w:lastRenderedPageBreak/>
        <w:t>2. Traditional Remittance Challenges</w:t>
      </w:r>
    </w:p>
    <w:p w14:paraId="23A47E57" w14:textId="77777777" w:rsidR="00A5325C" w:rsidRPr="00A5325C" w:rsidRDefault="00A5325C" w:rsidP="00A5325C">
      <w:p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Global remittance channels are essential but face persistent challenges:</w:t>
      </w:r>
    </w:p>
    <w:p w14:paraId="788FA4F2" w14:textId="088063C5" w:rsidR="00A5325C" w:rsidRPr="00A5325C" w:rsidRDefault="00A5325C" w:rsidP="00A5325C">
      <w:pPr>
        <w:numPr>
          <w:ilvl w:val="0"/>
          <w:numId w:val="6"/>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High Transfer Costs: Average fees range from 5–8% per transaction,</w:t>
      </w:r>
      <w:r w:rsidR="00E77252">
        <w:rPr>
          <w:rFonts w:ascii="Tajawal" w:eastAsia="Times New Roman" w:hAnsi="Tajawal" w:cs="Tajawal"/>
          <w:color w:val="000000"/>
          <w:sz w:val="24"/>
          <w:szCs w:val="24"/>
          <w:lang w:val="en-YE"/>
        </w:rPr>
        <w:t xml:space="preserve"> </w:t>
      </w:r>
      <w:r w:rsidRPr="00A5325C">
        <w:rPr>
          <w:rFonts w:ascii="Tajawal" w:eastAsia="Times New Roman" w:hAnsi="Tajawal" w:cs="Tajawal" w:hint="cs"/>
          <w:color w:val="000000"/>
          <w:sz w:val="24"/>
          <w:szCs w:val="24"/>
          <w:lang w:val="en-YE"/>
        </w:rPr>
        <w:t>disproportionately affecting lower-income workers.</w:t>
      </w:r>
    </w:p>
    <w:p w14:paraId="39B7D3D9" w14:textId="77777777" w:rsidR="00A5325C" w:rsidRPr="00A5325C" w:rsidRDefault="00A5325C" w:rsidP="00A5325C">
      <w:pPr>
        <w:numPr>
          <w:ilvl w:val="0"/>
          <w:numId w:val="6"/>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Limited Accessibility: Many services rely on physical branches or bank accounts, leaving unbanked populations underserved.</w:t>
      </w:r>
    </w:p>
    <w:p w14:paraId="5C46EFF1" w14:textId="77777777" w:rsidR="00A5325C" w:rsidRPr="00A5325C" w:rsidRDefault="00A5325C" w:rsidP="00A5325C">
      <w:pPr>
        <w:numPr>
          <w:ilvl w:val="0"/>
          <w:numId w:val="6"/>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Slow Settlement: Traditional cross-border bank transfers can take 1–5 business days, delaying urgent family support.</w:t>
      </w:r>
    </w:p>
    <w:p w14:paraId="286FCEAA" w14:textId="77777777" w:rsidR="00A5325C" w:rsidRPr="00A5325C" w:rsidRDefault="00A5325C" w:rsidP="00A5325C">
      <w:pPr>
        <w:numPr>
          <w:ilvl w:val="0"/>
          <w:numId w:val="6"/>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Rigid Payment Requirements: Full upfront payments are required, creating barriers for senders with temporary cash-flow constraints.</w:t>
      </w:r>
    </w:p>
    <w:p w14:paraId="645808A0" w14:textId="77777777" w:rsidR="00A5325C" w:rsidRPr="00A5325C" w:rsidRDefault="00E707B4" w:rsidP="00A5325C">
      <w:pPr>
        <w:spacing w:line="240" w:lineRule="auto"/>
        <w:rPr>
          <w:rFonts w:ascii="Tajawal" w:eastAsia="Times New Roman" w:hAnsi="Tajawal" w:cs="Tajawal"/>
          <w:sz w:val="24"/>
          <w:szCs w:val="24"/>
          <w:lang w:val="en-YE"/>
        </w:rPr>
      </w:pPr>
      <w:r>
        <w:rPr>
          <w:noProof/>
        </w:rPr>
      </w:r>
      <w:r>
        <w:pict w14:anchorId="6CDE4C05">
          <v:rect id="Horizontal Line 3" o:spid="_x0000_s1040"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" fillcolor="black" stroked="f">
            <o:lock v:ext="edit" rotation="t" aspectratio="t" verticies="t" text="t" shapetype="t"/>
            <w10:anchorlock/>
          </v:rect>
        </w:pict>
      </w:r>
    </w:p>
    <w:p w14:paraId="204FDD29" w14:textId="77777777" w:rsidR="00A5325C" w:rsidRPr="00A5325C" w:rsidRDefault="00A5325C" w:rsidP="00A5325C">
      <w:pPr>
        <w:spacing w:before="100" w:beforeAutospacing="1" w:after="100" w:afterAutospacing="1" w:line="240" w:lineRule="auto"/>
        <w:outlineLvl w:val="1"/>
        <w:rPr>
          <w:rFonts w:ascii="Tajawal" w:eastAsia="Times New Roman" w:hAnsi="Tajawal" w:cs="Tajawal"/>
          <w:color w:val="000000"/>
          <w:sz w:val="36"/>
          <w:szCs w:val="36"/>
          <w:lang w:val="en-YE"/>
        </w:rPr>
      </w:pPr>
      <w:r w:rsidRPr="00A5325C">
        <w:rPr>
          <w:rFonts w:ascii="Tajawal" w:eastAsia="Times New Roman" w:hAnsi="Tajawal" w:cs="Tajawal" w:hint="cs"/>
          <w:color w:val="000000"/>
          <w:sz w:val="36"/>
          <w:szCs w:val="36"/>
          <w:lang w:val="en-YE"/>
        </w:rPr>
        <w:t>3. The SNPL Advantage in P2P Transfers</w:t>
      </w:r>
    </w:p>
    <w:p w14:paraId="32E42B1D" w14:textId="77777777" w:rsidR="00A5325C" w:rsidRPr="00A5325C" w:rsidRDefault="00A5325C" w:rsidP="00A5325C">
      <w:p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Integrating SNPL into cross-border P2P payments can disrupt the remittance ecosystem through:</w:t>
      </w:r>
    </w:p>
    <w:p w14:paraId="7656BA5E" w14:textId="77777777" w:rsidR="00A5325C" w:rsidRPr="00A5325C" w:rsidRDefault="00A5325C" w:rsidP="00A5325C">
      <w:pPr>
        <w:numPr>
          <w:ilvl w:val="0"/>
          <w:numId w:val="7"/>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Deferred Payment Flexibility</w:t>
      </w:r>
    </w:p>
    <w:p w14:paraId="7838A93F" w14:textId="77777777" w:rsidR="00A5325C" w:rsidRPr="00A5325C" w:rsidRDefault="00A5325C" w:rsidP="00A5325C">
      <w:pPr>
        <w:numPr>
          <w:ilvl w:val="1"/>
          <w:numId w:val="7"/>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Senders can initiate transfers immediately and pay in installments later.</w:t>
      </w:r>
    </w:p>
    <w:p w14:paraId="30C1D4E4" w14:textId="77777777" w:rsidR="00A5325C" w:rsidRPr="00A5325C" w:rsidRDefault="00A5325C" w:rsidP="00A5325C">
      <w:pPr>
        <w:numPr>
          <w:ilvl w:val="1"/>
          <w:numId w:val="7"/>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Recipients receive funds instantly, boosting household financial stability.</w:t>
      </w:r>
    </w:p>
    <w:p w14:paraId="1711042D" w14:textId="77777777" w:rsidR="00A5325C" w:rsidRPr="00A5325C" w:rsidRDefault="00A5325C" w:rsidP="00A5325C">
      <w:pPr>
        <w:numPr>
          <w:ilvl w:val="0"/>
          <w:numId w:val="7"/>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Increased Accessibility</w:t>
      </w:r>
    </w:p>
    <w:p w14:paraId="02D9E18E" w14:textId="77777777" w:rsidR="00A5325C" w:rsidRPr="00A5325C" w:rsidRDefault="00A5325C" w:rsidP="00A5325C">
      <w:pPr>
        <w:numPr>
          <w:ilvl w:val="1"/>
          <w:numId w:val="7"/>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SNPL integrates seamlessly with mobile wallets and digital remittance apps, reducing dependency on banks.</w:t>
      </w:r>
    </w:p>
    <w:p w14:paraId="7BAEC8B1" w14:textId="77777777" w:rsidR="00A5325C" w:rsidRPr="00A5325C" w:rsidRDefault="00A5325C" w:rsidP="00A5325C">
      <w:pPr>
        <w:numPr>
          <w:ilvl w:val="1"/>
          <w:numId w:val="7"/>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Supports unbanked and underbanked communities in emerging markets.</w:t>
      </w:r>
    </w:p>
    <w:p w14:paraId="7B5632C6" w14:textId="77777777" w:rsidR="00A5325C" w:rsidRPr="00A5325C" w:rsidRDefault="00A5325C" w:rsidP="00A5325C">
      <w:pPr>
        <w:numPr>
          <w:ilvl w:val="0"/>
          <w:numId w:val="7"/>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Lower Transaction Costs</w:t>
      </w:r>
    </w:p>
    <w:p w14:paraId="34E6CC18" w14:textId="77777777" w:rsidR="00A5325C" w:rsidRPr="00A5325C" w:rsidRDefault="00A5325C" w:rsidP="00A5325C">
      <w:pPr>
        <w:numPr>
          <w:ilvl w:val="1"/>
          <w:numId w:val="7"/>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Digital-first SNPL platforms can use fintech infrastructure to cut transfer fees below traditional Money Transfer Operators (MTOs).</w:t>
      </w:r>
    </w:p>
    <w:p w14:paraId="1530796E" w14:textId="77777777" w:rsidR="00A5325C" w:rsidRPr="00A5325C" w:rsidRDefault="00A5325C" w:rsidP="00A5325C">
      <w:pPr>
        <w:numPr>
          <w:ilvl w:val="0"/>
          <w:numId w:val="7"/>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Enhanced User Experience</w:t>
      </w:r>
    </w:p>
    <w:p w14:paraId="7FAF3A16" w14:textId="77777777" w:rsidR="00A5325C" w:rsidRPr="00A5325C" w:rsidRDefault="00A5325C" w:rsidP="00A5325C">
      <w:pPr>
        <w:numPr>
          <w:ilvl w:val="1"/>
          <w:numId w:val="7"/>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Mobile-first solutions with real-time notifications, transaction tracking, and flexible repayments deliver superior usability.</w:t>
      </w:r>
    </w:p>
    <w:p w14:paraId="005468FD" w14:textId="77777777" w:rsidR="00A5325C" w:rsidRPr="00A5325C" w:rsidRDefault="00E707B4" w:rsidP="00A5325C">
      <w:pPr>
        <w:spacing w:line="240" w:lineRule="auto"/>
        <w:rPr>
          <w:rFonts w:ascii="Tajawal" w:eastAsia="Times New Roman" w:hAnsi="Tajawal" w:cs="Tajawal"/>
          <w:sz w:val="24"/>
          <w:szCs w:val="24"/>
          <w:lang w:val="en-YE"/>
        </w:rPr>
      </w:pPr>
      <w:r>
        <w:rPr>
          <w:noProof/>
        </w:rPr>
      </w:r>
      <w:r>
        <w:pict w14:anchorId="35F2C4CE">
          <v:rect id="Horizontal Line 4" o:spid="_x0000_s1039"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" fillcolor="black" stroked="f">
            <o:lock v:ext="edit" rotation="t" aspectratio="t" verticies="t" text="t" shapetype="t"/>
            <w10:anchorlock/>
          </v:rect>
        </w:pict>
      </w:r>
    </w:p>
    <w:p w14:paraId="414C634A" w14:textId="77777777" w:rsidR="00A5325C" w:rsidRPr="00A5325C" w:rsidRDefault="00A5325C" w:rsidP="00A5325C">
      <w:pPr>
        <w:spacing w:before="100" w:beforeAutospacing="1" w:after="100" w:afterAutospacing="1" w:line="240" w:lineRule="auto"/>
        <w:outlineLvl w:val="1"/>
        <w:rPr>
          <w:rFonts w:ascii="Tajawal" w:eastAsia="Times New Roman" w:hAnsi="Tajawal" w:cs="Tajawal"/>
          <w:color w:val="000000"/>
          <w:sz w:val="36"/>
          <w:szCs w:val="36"/>
          <w:lang w:val="en-YE"/>
        </w:rPr>
      </w:pPr>
      <w:r w:rsidRPr="00A5325C">
        <w:rPr>
          <w:rFonts w:ascii="Tajawal" w:eastAsia="Times New Roman" w:hAnsi="Tajawal" w:cs="Tajawal" w:hint="cs"/>
          <w:color w:val="000000"/>
          <w:sz w:val="36"/>
          <w:szCs w:val="36"/>
          <w:lang w:val="en-YE"/>
        </w:rPr>
        <w:t>4. Strategic Opportunities for Fintechs</w:t>
      </w:r>
    </w:p>
    <w:p w14:paraId="2A89DC43" w14:textId="77777777" w:rsidR="00A5325C" w:rsidRPr="00A5325C" w:rsidRDefault="00A5325C" w:rsidP="00A5325C">
      <w:p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Fintechs entering this market can capture new revenue streams by:</w:t>
      </w:r>
    </w:p>
    <w:p w14:paraId="05D3B80E" w14:textId="77777777" w:rsidR="00A5325C" w:rsidRPr="00A5325C" w:rsidRDefault="00A5325C" w:rsidP="00A5325C">
      <w:pPr>
        <w:numPr>
          <w:ilvl w:val="0"/>
          <w:numId w:val="8"/>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Partnering with E-Wallets and Banks for regulatory compliance and settlement.</w:t>
      </w:r>
    </w:p>
    <w:p w14:paraId="2648B007" w14:textId="77777777" w:rsidR="00A5325C" w:rsidRPr="00A5325C" w:rsidRDefault="00A5325C" w:rsidP="00A5325C">
      <w:pPr>
        <w:numPr>
          <w:ilvl w:val="0"/>
          <w:numId w:val="8"/>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Leveraging AI-Driven Credit Scoring to evaluate short-term repayment ability.</w:t>
      </w:r>
    </w:p>
    <w:p w14:paraId="4D95C632" w14:textId="77777777" w:rsidR="00A5325C" w:rsidRPr="00A5325C" w:rsidRDefault="00A5325C" w:rsidP="00A5325C">
      <w:pPr>
        <w:numPr>
          <w:ilvl w:val="0"/>
          <w:numId w:val="8"/>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lastRenderedPageBreak/>
        <w:t>Integrating FX and Multi-Currency Capabilities to minimize currency conversion costs.</w:t>
      </w:r>
    </w:p>
    <w:p w14:paraId="05E15B36" w14:textId="77777777" w:rsidR="00A5325C" w:rsidRPr="00A5325C" w:rsidRDefault="00A5325C" w:rsidP="00A5325C">
      <w:pPr>
        <w:numPr>
          <w:ilvl w:val="0"/>
          <w:numId w:val="8"/>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Targeting Migrant-Dense Corridors such as:</w:t>
      </w:r>
    </w:p>
    <w:p w14:paraId="3174E170" w14:textId="77777777" w:rsidR="00A5325C" w:rsidRPr="00A5325C" w:rsidRDefault="00A5325C" w:rsidP="00A5325C">
      <w:pPr>
        <w:numPr>
          <w:ilvl w:val="1"/>
          <w:numId w:val="8"/>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 xml:space="preserve">GCC </w:t>
      </w:r>
      <w:r w:rsidRPr="00A5325C">
        <w:rPr>
          <w:rFonts w:ascii="Times New Roman" w:eastAsia="Times New Roman" w:hAnsi="Times New Roman" w:cs="Times New Roman"/>
          <w:color w:val="000000"/>
          <w:sz w:val="24"/>
          <w:szCs w:val="24"/>
          <w:lang w:val="en-YE"/>
        </w:rPr>
        <w:t>→</w:t>
      </w:r>
      <w:r w:rsidRPr="00A5325C">
        <w:rPr>
          <w:rFonts w:ascii="Tajawal" w:eastAsia="Times New Roman" w:hAnsi="Tajawal" w:cs="Tajawal" w:hint="cs"/>
          <w:color w:val="000000"/>
          <w:sz w:val="24"/>
          <w:szCs w:val="24"/>
          <w:lang w:val="en-YE"/>
        </w:rPr>
        <w:t xml:space="preserve"> South Asia</w:t>
      </w:r>
    </w:p>
    <w:p w14:paraId="6BF94FB7" w14:textId="77777777" w:rsidR="00A5325C" w:rsidRPr="00A5325C" w:rsidRDefault="00A5325C" w:rsidP="00A5325C">
      <w:pPr>
        <w:numPr>
          <w:ilvl w:val="1"/>
          <w:numId w:val="8"/>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 xml:space="preserve">EU </w:t>
      </w:r>
      <w:r w:rsidRPr="00A5325C">
        <w:rPr>
          <w:rFonts w:ascii="Times New Roman" w:eastAsia="Times New Roman" w:hAnsi="Times New Roman" w:cs="Times New Roman"/>
          <w:color w:val="000000"/>
          <w:sz w:val="24"/>
          <w:szCs w:val="24"/>
          <w:lang w:val="en-YE"/>
        </w:rPr>
        <w:t>→</w:t>
      </w:r>
      <w:r w:rsidRPr="00A5325C">
        <w:rPr>
          <w:rFonts w:ascii="Tajawal" w:eastAsia="Times New Roman" w:hAnsi="Tajawal" w:cs="Tajawal" w:hint="cs"/>
          <w:color w:val="000000"/>
          <w:sz w:val="24"/>
          <w:szCs w:val="24"/>
          <w:lang w:val="en-YE"/>
        </w:rPr>
        <w:t xml:space="preserve"> Africa</w:t>
      </w:r>
    </w:p>
    <w:p w14:paraId="56740B00" w14:textId="77777777" w:rsidR="00A5325C" w:rsidRPr="00A5325C" w:rsidRDefault="00A5325C" w:rsidP="00A5325C">
      <w:pPr>
        <w:numPr>
          <w:ilvl w:val="1"/>
          <w:numId w:val="8"/>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 xml:space="preserve">North America </w:t>
      </w:r>
      <w:r w:rsidRPr="00A5325C">
        <w:rPr>
          <w:rFonts w:ascii="Times New Roman" w:eastAsia="Times New Roman" w:hAnsi="Times New Roman" w:cs="Times New Roman"/>
          <w:color w:val="000000"/>
          <w:sz w:val="24"/>
          <w:szCs w:val="24"/>
          <w:lang w:val="en-YE"/>
        </w:rPr>
        <w:t>→</w:t>
      </w:r>
      <w:r w:rsidRPr="00A5325C">
        <w:rPr>
          <w:rFonts w:ascii="Tajawal" w:eastAsia="Times New Roman" w:hAnsi="Tajawal" w:cs="Tajawal" w:hint="cs"/>
          <w:color w:val="000000"/>
          <w:sz w:val="24"/>
          <w:szCs w:val="24"/>
          <w:lang w:val="en-YE"/>
        </w:rPr>
        <w:t xml:space="preserve"> LatAm</w:t>
      </w:r>
    </w:p>
    <w:p w14:paraId="3CD6F204" w14:textId="77777777" w:rsidR="00A5325C" w:rsidRPr="00A5325C" w:rsidRDefault="00E707B4" w:rsidP="00A5325C">
      <w:pPr>
        <w:spacing w:line="240" w:lineRule="auto"/>
        <w:rPr>
          <w:rFonts w:ascii="Tajawal" w:eastAsia="Times New Roman" w:hAnsi="Tajawal" w:cs="Tajawal"/>
          <w:sz w:val="24"/>
          <w:szCs w:val="24"/>
          <w:lang w:val="en-YE"/>
        </w:rPr>
      </w:pPr>
      <w:r>
        <w:rPr>
          <w:noProof/>
        </w:rPr>
      </w:r>
      <w:r>
        <w:pict w14:anchorId="46D0B6D2">
          <v:rect id="Horizontal Line 5" o:spid="_x0000_s1038"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" fillcolor="black" stroked="f">
            <o:lock v:ext="edit" rotation="t" aspectratio="t" verticies="t" text="t" shapetype="t"/>
            <w10:anchorlock/>
          </v:rect>
        </w:pict>
      </w:r>
    </w:p>
    <w:p w14:paraId="1D0F5654" w14:textId="77777777" w:rsidR="00A5325C" w:rsidRPr="00A5325C" w:rsidRDefault="00A5325C" w:rsidP="00A5325C">
      <w:pPr>
        <w:spacing w:before="100" w:beforeAutospacing="1" w:after="100" w:afterAutospacing="1" w:line="240" w:lineRule="auto"/>
        <w:outlineLvl w:val="1"/>
        <w:rPr>
          <w:rFonts w:ascii="Tajawal" w:eastAsia="Times New Roman" w:hAnsi="Tajawal" w:cs="Tajawal"/>
          <w:color w:val="000000"/>
          <w:sz w:val="36"/>
          <w:szCs w:val="36"/>
          <w:lang w:val="en-YE"/>
        </w:rPr>
      </w:pPr>
      <w:r w:rsidRPr="00A5325C">
        <w:rPr>
          <w:rFonts w:ascii="Tajawal" w:eastAsia="Times New Roman" w:hAnsi="Tajawal" w:cs="Tajawal" w:hint="cs"/>
          <w:color w:val="000000"/>
          <w:sz w:val="36"/>
          <w:szCs w:val="36"/>
          <w:lang w:val="en-YE"/>
        </w:rPr>
        <w:t>5. Regulatory and Risk Considerations</w:t>
      </w:r>
    </w:p>
    <w:p w14:paraId="706F83F1" w14:textId="77777777" w:rsidR="00A5325C" w:rsidRPr="00A5325C" w:rsidRDefault="00A5325C" w:rsidP="00A5325C">
      <w:p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Implementing SNPL in cross-border P2P payments requires careful navigation of:</w:t>
      </w:r>
    </w:p>
    <w:p w14:paraId="0125B3EF" w14:textId="77777777" w:rsidR="00A5325C" w:rsidRPr="00A5325C" w:rsidRDefault="00A5325C" w:rsidP="00A5325C">
      <w:pPr>
        <w:numPr>
          <w:ilvl w:val="0"/>
          <w:numId w:val="9"/>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KYC/AML Compliance: Adherence to anti-money laundering and counter-terrorism financing regulations.</w:t>
      </w:r>
    </w:p>
    <w:p w14:paraId="1E748336" w14:textId="77777777" w:rsidR="00A5325C" w:rsidRPr="00A5325C" w:rsidRDefault="00A5325C" w:rsidP="00A5325C">
      <w:pPr>
        <w:numPr>
          <w:ilvl w:val="0"/>
          <w:numId w:val="9"/>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Credit Risk Management: Deferred payments introduce non-repayment risks, requiring robust risk assessment models.</w:t>
      </w:r>
    </w:p>
    <w:p w14:paraId="76DA689C" w14:textId="77777777" w:rsidR="00A5325C" w:rsidRPr="00A5325C" w:rsidRDefault="00A5325C" w:rsidP="00A5325C">
      <w:pPr>
        <w:numPr>
          <w:ilvl w:val="0"/>
          <w:numId w:val="9"/>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Regulatory Variability: Local and international fintech, credit, and remittance regulations differ widely and may require strategic licensing approaches.</w:t>
      </w:r>
    </w:p>
    <w:p w14:paraId="33EC24A4" w14:textId="77777777" w:rsidR="00A5325C" w:rsidRPr="00A5325C" w:rsidRDefault="00E707B4" w:rsidP="00A5325C">
      <w:pPr>
        <w:spacing w:line="240" w:lineRule="auto"/>
        <w:rPr>
          <w:rFonts w:ascii="Tajawal" w:eastAsia="Times New Roman" w:hAnsi="Tajawal" w:cs="Tajawal"/>
          <w:sz w:val="24"/>
          <w:szCs w:val="24"/>
          <w:lang w:val="en-YE"/>
        </w:rPr>
      </w:pPr>
      <w:r>
        <w:rPr>
          <w:noProof/>
        </w:rPr>
      </w:r>
      <w:r>
        <w:pict w14:anchorId="50C88CB6">
          <v:rect id="Horizontal Line 6" o:spid="_x0000_s1037"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" fillcolor="black" stroked="f">
            <o:lock v:ext="edit" rotation="t" aspectratio="t" verticies="t" text="t" shapetype="t"/>
            <w10:anchorlock/>
          </v:rect>
        </w:pict>
      </w:r>
    </w:p>
    <w:p w14:paraId="05468252" w14:textId="77777777" w:rsidR="00A5325C" w:rsidRPr="00A5325C" w:rsidRDefault="00A5325C" w:rsidP="00A5325C">
      <w:pPr>
        <w:spacing w:before="100" w:beforeAutospacing="1" w:after="100" w:afterAutospacing="1" w:line="240" w:lineRule="auto"/>
        <w:outlineLvl w:val="1"/>
        <w:rPr>
          <w:rFonts w:ascii="Tajawal" w:eastAsia="Times New Roman" w:hAnsi="Tajawal" w:cs="Tajawal"/>
          <w:color w:val="000000"/>
          <w:sz w:val="36"/>
          <w:szCs w:val="36"/>
          <w:lang w:val="en-YE"/>
        </w:rPr>
      </w:pPr>
      <w:r w:rsidRPr="00A5325C">
        <w:rPr>
          <w:rFonts w:ascii="Tajawal" w:eastAsia="Times New Roman" w:hAnsi="Tajawal" w:cs="Tajawal" w:hint="cs"/>
          <w:color w:val="000000"/>
          <w:sz w:val="36"/>
          <w:szCs w:val="36"/>
          <w:lang w:val="en-YE"/>
        </w:rPr>
        <w:t>6. Conclusion</w:t>
      </w:r>
    </w:p>
    <w:p w14:paraId="7D0235FD" w14:textId="77777777" w:rsidR="00A5325C" w:rsidRPr="00A5325C" w:rsidRDefault="00A5325C" w:rsidP="00A5325C">
      <w:p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The convergence of SNPL and cross-border P2P payments is a paradigm shift in the global remittance market. By addressing cost, speed, and accessibility, this model:</w:t>
      </w:r>
    </w:p>
    <w:p w14:paraId="58DE1F93" w14:textId="77777777" w:rsidR="00A5325C" w:rsidRPr="00A5325C" w:rsidRDefault="00A5325C" w:rsidP="00A5325C">
      <w:pPr>
        <w:numPr>
          <w:ilvl w:val="0"/>
          <w:numId w:val="10"/>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Empowers migrant workers to support families flexibly</w:t>
      </w:r>
    </w:p>
    <w:p w14:paraId="5C6E1D32" w14:textId="77777777" w:rsidR="00A5325C" w:rsidRPr="00A5325C" w:rsidRDefault="00A5325C" w:rsidP="00A5325C">
      <w:pPr>
        <w:numPr>
          <w:ilvl w:val="0"/>
          <w:numId w:val="10"/>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Supports emerging markets with faster liquidity flows</w:t>
      </w:r>
    </w:p>
    <w:p w14:paraId="0762FC5B" w14:textId="77777777" w:rsidR="00A5325C" w:rsidRPr="00A5325C" w:rsidRDefault="00A5325C" w:rsidP="00A5325C">
      <w:pPr>
        <w:numPr>
          <w:ilvl w:val="0"/>
          <w:numId w:val="10"/>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Generates new revenue opportunities for fintech innovators</w:t>
      </w:r>
    </w:p>
    <w:p w14:paraId="7B77E5D4" w14:textId="77777777" w:rsidR="00A5325C" w:rsidRDefault="00A5325C" w:rsidP="00A5325C">
      <w:p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As digital-first financial ecosystems expand, SNPL is poised to move beyond shopping carts and invoices—into the wallets of families worldwide, driving financial flexibility and global connectivity for the next decade.</w:t>
      </w:r>
    </w:p>
    <w:p w14:paraId="13D3843C" w14:textId="77777777" w:rsidR="00E77252" w:rsidRDefault="00E77252" w:rsidP="00A5325C">
      <w:pPr>
        <w:spacing w:before="100" w:beforeAutospacing="1" w:after="100" w:afterAutospacing="1" w:line="240" w:lineRule="auto"/>
        <w:rPr>
          <w:rFonts w:ascii="Tajawal" w:eastAsia="Times New Roman" w:hAnsi="Tajawal" w:cs="Tajawal"/>
          <w:color w:val="000000"/>
          <w:sz w:val="24"/>
          <w:szCs w:val="24"/>
          <w:lang w:val="en-YE"/>
        </w:rPr>
      </w:pPr>
    </w:p>
    <w:p w14:paraId="62F59B5F" w14:textId="77777777" w:rsidR="00E77252" w:rsidRDefault="00E77252" w:rsidP="00A5325C">
      <w:pPr>
        <w:spacing w:before="100" w:beforeAutospacing="1" w:after="100" w:afterAutospacing="1" w:line="240" w:lineRule="auto"/>
        <w:rPr>
          <w:rFonts w:ascii="Tajawal" w:eastAsia="Times New Roman" w:hAnsi="Tajawal" w:cs="Tajawal"/>
          <w:color w:val="000000"/>
          <w:sz w:val="24"/>
          <w:szCs w:val="24"/>
          <w:lang w:val="en-YE"/>
        </w:rPr>
      </w:pPr>
    </w:p>
    <w:p w14:paraId="273E1F8E" w14:textId="77777777" w:rsidR="00E77252" w:rsidRDefault="00E77252" w:rsidP="00A5325C">
      <w:pPr>
        <w:spacing w:before="100" w:beforeAutospacing="1" w:after="100" w:afterAutospacing="1" w:line="240" w:lineRule="auto"/>
        <w:rPr>
          <w:rFonts w:ascii="Tajawal" w:eastAsia="Times New Roman" w:hAnsi="Tajawal" w:cs="Tajawal"/>
          <w:color w:val="000000"/>
          <w:sz w:val="24"/>
          <w:szCs w:val="24"/>
          <w:lang w:val="en-YE"/>
        </w:rPr>
      </w:pPr>
    </w:p>
    <w:p w14:paraId="528E983D" w14:textId="77777777" w:rsidR="00E77252" w:rsidRPr="00A5325C" w:rsidRDefault="00E77252" w:rsidP="00A5325C">
      <w:pPr>
        <w:spacing w:before="100" w:beforeAutospacing="1" w:after="100" w:afterAutospacing="1" w:line="240" w:lineRule="auto"/>
        <w:rPr>
          <w:rFonts w:ascii="Tajawal" w:eastAsia="Times New Roman" w:hAnsi="Tajawal" w:cs="Tajawal"/>
          <w:color w:val="000000"/>
          <w:sz w:val="24"/>
          <w:szCs w:val="24"/>
          <w:lang w:val="en-YE"/>
        </w:rPr>
      </w:pPr>
    </w:p>
    <w:p w14:paraId="20138728" w14:textId="77777777" w:rsidR="00A5325C" w:rsidRPr="00A5325C" w:rsidRDefault="00A5325C" w:rsidP="00A5325C">
      <w:pPr>
        <w:spacing w:before="100" w:beforeAutospacing="1" w:after="100" w:afterAutospacing="1" w:line="240" w:lineRule="auto"/>
        <w:outlineLvl w:val="1"/>
        <w:rPr>
          <w:rFonts w:ascii="Tajawal" w:eastAsia="Times New Roman" w:hAnsi="Tajawal" w:cs="Tajawal"/>
          <w:color w:val="000000"/>
          <w:sz w:val="36"/>
          <w:szCs w:val="36"/>
          <w:lang w:val="en-YE"/>
        </w:rPr>
      </w:pPr>
      <w:r w:rsidRPr="00A5325C">
        <w:rPr>
          <w:rFonts w:ascii="Apple Color Emoji" w:eastAsia="Times New Roman" w:hAnsi="Apple Color Emoji" w:cs="Apple Color Emoji"/>
          <w:color w:val="000000"/>
          <w:sz w:val="36"/>
          <w:szCs w:val="36"/>
          <w:lang w:val="en-YE"/>
        </w:rPr>
        <w:lastRenderedPageBreak/>
        <w:t>📊</w:t>
      </w:r>
      <w:r w:rsidRPr="00A5325C">
        <w:rPr>
          <w:rFonts w:ascii="Tajawal" w:eastAsia="Times New Roman" w:hAnsi="Tajawal" w:cs="Tajawal" w:hint="cs"/>
          <w:color w:val="000000"/>
          <w:sz w:val="36"/>
          <w:szCs w:val="36"/>
          <w:lang w:val="en-YE"/>
        </w:rPr>
        <w:t xml:space="preserve"> Remittance Data: GCC </w:t>
      </w:r>
      <w:r w:rsidRPr="00A5325C">
        <w:rPr>
          <w:rFonts w:ascii="Times New Roman" w:eastAsia="Times New Roman" w:hAnsi="Times New Roman" w:cs="Times New Roman"/>
          <w:color w:val="000000"/>
          <w:sz w:val="36"/>
          <w:szCs w:val="36"/>
          <w:lang w:val="en-YE"/>
        </w:rPr>
        <w:t>→</w:t>
      </w:r>
      <w:r w:rsidRPr="00A5325C">
        <w:rPr>
          <w:rFonts w:ascii="Tajawal" w:eastAsia="Times New Roman" w:hAnsi="Tajawal" w:cs="Tajawal" w:hint="cs"/>
          <w:color w:val="000000"/>
          <w:sz w:val="36"/>
          <w:szCs w:val="36"/>
          <w:lang w:val="en-YE"/>
        </w:rPr>
        <w:t xml:space="preserve"> Egypt &amp; Asia Corridors</w:t>
      </w:r>
    </w:p>
    <w:p w14:paraId="2834C89F" w14:textId="77777777" w:rsidR="00A5325C" w:rsidRPr="00A5325C" w:rsidRDefault="00A5325C" w:rsidP="00A5325C">
      <w:pPr>
        <w:spacing w:before="100" w:beforeAutospacing="1" w:after="100" w:afterAutospacing="1" w:line="240" w:lineRule="auto"/>
        <w:outlineLvl w:val="2"/>
        <w:rPr>
          <w:rFonts w:ascii="Tajawal" w:eastAsia="Times New Roman" w:hAnsi="Tajawal" w:cs="Tajawal"/>
          <w:color w:val="000000"/>
          <w:sz w:val="27"/>
          <w:szCs w:val="27"/>
          <w:lang w:val="en-YE"/>
        </w:rPr>
      </w:pPr>
      <w:r w:rsidRPr="00A5325C">
        <w:rPr>
          <w:rFonts w:ascii="Tajawal" w:eastAsia="Times New Roman" w:hAnsi="Tajawal" w:cs="Tajawal" w:hint="cs"/>
          <w:color w:val="000000"/>
          <w:sz w:val="27"/>
          <w:szCs w:val="27"/>
          <w:lang w:val="en-YE"/>
        </w:rPr>
        <w:t>Overall Market Trends</w:t>
      </w:r>
    </w:p>
    <w:p w14:paraId="0C01535B" w14:textId="77777777" w:rsidR="00A5325C" w:rsidRPr="00A5325C" w:rsidRDefault="00A5325C" w:rsidP="00A5325C">
      <w:pPr>
        <w:numPr>
          <w:ilvl w:val="0"/>
          <w:numId w:val="11"/>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Global remittance flows grew from USD 865</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billion in 2023 to approximately USD 905</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billion in 2024—a 4.6</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 increase </w:t>
      </w:r>
      <w:hyperlink r:id="rId6" w:tgtFrame="_blank" w:history="1">
        <w:r w:rsidRPr="00A5325C">
          <w:rPr>
            <w:rFonts w:ascii="Tajawal" w:eastAsia="Times New Roman" w:hAnsi="Tajawal" w:cs="Tajawal" w:hint="cs"/>
            <w:color w:val="0000FF"/>
            <w:sz w:val="24"/>
            <w:szCs w:val="24"/>
            <w:u w:val="single"/>
            <w:lang w:val="en-YE"/>
          </w:rPr>
          <w:t>Macro Global</w:t>
        </w:r>
      </w:hyperlink>
      <w:hyperlink r:id="rId7" w:tgtFrame="_blank" w:history="1">
        <w:r w:rsidRPr="00A5325C">
          <w:rPr>
            <w:rFonts w:ascii="Tajawal" w:eastAsia="Times New Roman" w:hAnsi="Tajawal" w:cs="Tajawal" w:hint="cs"/>
            <w:color w:val="0000FF"/>
            <w:sz w:val="24"/>
            <w:szCs w:val="24"/>
            <w:u w:val="single"/>
            <w:lang w:val="en-YE"/>
          </w:rPr>
          <w:t>Migration Data Portal+1</w:t>
        </w:r>
      </w:hyperlink>
      <w:r w:rsidRPr="00A5325C">
        <w:rPr>
          <w:rFonts w:ascii="Tajawal" w:eastAsia="Times New Roman" w:hAnsi="Tajawal" w:cs="Tajawal" w:hint="cs"/>
          <w:color w:val="000000"/>
          <w:sz w:val="24"/>
          <w:szCs w:val="24"/>
          <w:lang w:val="en-YE"/>
        </w:rPr>
        <w:t>.</w:t>
      </w:r>
    </w:p>
    <w:p w14:paraId="29E78A80" w14:textId="77777777" w:rsidR="00A5325C" w:rsidRPr="00A5325C" w:rsidRDefault="00A5325C" w:rsidP="00A5325C">
      <w:pPr>
        <w:numPr>
          <w:ilvl w:val="0"/>
          <w:numId w:val="11"/>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The global P2P remittance market is estimated at USD 836</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billion in 2022, with projections near USD 887</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billion by 2024 </w:t>
      </w:r>
      <w:hyperlink r:id="rId8" w:tgtFrame="_blank" w:history="1">
        <w:r w:rsidRPr="00A5325C">
          <w:rPr>
            <w:rFonts w:ascii="Tajawal" w:eastAsia="Times New Roman" w:hAnsi="Tajawal" w:cs="Tajawal" w:hint="cs"/>
            <w:color w:val="0000FF"/>
            <w:sz w:val="24"/>
            <w:szCs w:val="24"/>
            <w:u w:val="single"/>
            <w:lang w:val="en-YE"/>
          </w:rPr>
          <w:t>Macro Global</w:t>
        </w:r>
      </w:hyperlink>
      <w:r w:rsidRPr="00A5325C">
        <w:rPr>
          <w:rFonts w:ascii="Tajawal" w:eastAsia="Times New Roman" w:hAnsi="Tajawal" w:cs="Tajawal" w:hint="cs"/>
          <w:color w:val="000000"/>
          <w:sz w:val="24"/>
          <w:szCs w:val="24"/>
          <w:lang w:val="en-YE"/>
        </w:rPr>
        <w:t>.</w:t>
      </w:r>
    </w:p>
    <w:p w14:paraId="32B90C12" w14:textId="77777777" w:rsidR="00A5325C" w:rsidRPr="00A5325C" w:rsidRDefault="00A5325C" w:rsidP="00A5325C">
      <w:pPr>
        <w:spacing w:before="100" w:beforeAutospacing="1" w:after="100" w:afterAutospacing="1" w:line="240" w:lineRule="auto"/>
        <w:outlineLvl w:val="2"/>
        <w:rPr>
          <w:rFonts w:ascii="Tajawal" w:eastAsia="Times New Roman" w:hAnsi="Tajawal" w:cs="Tajawal"/>
          <w:color w:val="000000"/>
          <w:sz w:val="27"/>
          <w:szCs w:val="27"/>
          <w:lang w:val="en-YE"/>
        </w:rPr>
      </w:pPr>
      <w:r w:rsidRPr="00A5325C">
        <w:rPr>
          <w:rFonts w:ascii="Tajawal" w:eastAsia="Times New Roman" w:hAnsi="Tajawal" w:cs="Tajawal" w:hint="cs"/>
          <w:color w:val="000000"/>
          <w:sz w:val="27"/>
          <w:szCs w:val="27"/>
          <w:lang w:val="en-YE"/>
        </w:rPr>
        <w:t>Middle East and North Africa (MENA)</w:t>
      </w:r>
    </w:p>
    <w:p w14:paraId="0010D187" w14:textId="77777777" w:rsidR="00A5325C" w:rsidRPr="00A5325C" w:rsidRDefault="00A5325C" w:rsidP="00A5325C">
      <w:pPr>
        <w:numPr>
          <w:ilvl w:val="0"/>
          <w:numId w:val="12"/>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Remittance flows to MENA fell to USD 55</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billion in 2023—a 15</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 drop, mainly due to declines in flows to Egypt—then are projected to recover to growth of ~4.3</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 in 2024 </w:t>
      </w:r>
      <w:hyperlink r:id="rId9" w:tgtFrame="_blank" w:history="1">
        <w:r w:rsidRPr="00A5325C">
          <w:rPr>
            <w:rFonts w:ascii="Tajawal" w:eastAsia="Times New Roman" w:hAnsi="Tajawal" w:cs="Tajawal" w:hint="cs"/>
            <w:color w:val="0000FF"/>
            <w:sz w:val="24"/>
            <w:szCs w:val="24"/>
            <w:u w:val="single"/>
            <w:lang w:val="en-YE"/>
          </w:rPr>
          <w:t>World Bank+2World Bank+2</w:t>
        </w:r>
      </w:hyperlink>
      <w:r w:rsidRPr="00A5325C">
        <w:rPr>
          <w:rFonts w:ascii="Tajawal" w:eastAsia="Times New Roman" w:hAnsi="Tajawal" w:cs="Tajawal" w:hint="cs"/>
          <w:color w:val="000000"/>
          <w:sz w:val="24"/>
          <w:szCs w:val="24"/>
          <w:lang w:val="en-YE"/>
        </w:rPr>
        <w:t>.</w:t>
      </w:r>
    </w:p>
    <w:p w14:paraId="2042EA5B" w14:textId="77777777" w:rsidR="00A5325C" w:rsidRPr="00A5325C" w:rsidRDefault="00A5325C" w:rsidP="00A5325C">
      <w:pPr>
        <w:numPr>
          <w:ilvl w:val="0"/>
          <w:numId w:val="12"/>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Remittance inflows to Egypt reached USD 23.7</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billion between Jan–Oct 2024, up 45</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 from USD 16.3</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billion in the same period of 2023 </w:t>
      </w:r>
      <w:hyperlink r:id="rId10" w:tgtFrame="_blank" w:history="1">
        <w:r w:rsidRPr="00A5325C">
          <w:rPr>
            <w:rFonts w:ascii="Tajawal" w:eastAsia="Times New Roman" w:hAnsi="Tajawal" w:cs="Tajawal" w:hint="cs"/>
            <w:color w:val="0000FF"/>
            <w:sz w:val="24"/>
            <w:szCs w:val="24"/>
            <w:u w:val="single"/>
            <w:lang w:val="en-YE"/>
          </w:rPr>
          <w:t>Wikipedia</w:t>
        </w:r>
      </w:hyperlink>
      <w:r w:rsidRPr="00A5325C">
        <w:rPr>
          <w:rFonts w:ascii="Tajawal" w:eastAsia="Times New Roman" w:hAnsi="Tajawal" w:cs="Tajawal" w:hint="cs"/>
          <w:color w:val="000000"/>
          <w:sz w:val="24"/>
          <w:szCs w:val="24"/>
          <w:lang w:val="en-YE"/>
        </w:rPr>
        <w:t>.</w:t>
      </w:r>
    </w:p>
    <w:p w14:paraId="42257562" w14:textId="77777777" w:rsidR="00A5325C" w:rsidRPr="00A5325C" w:rsidRDefault="00A5325C" w:rsidP="00A5325C">
      <w:pPr>
        <w:numPr>
          <w:ilvl w:val="0"/>
          <w:numId w:val="12"/>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Quarter</w:t>
      </w:r>
      <w:r w:rsidRPr="00A5325C">
        <w:rPr>
          <w:rFonts w:ascii="Tajawal" w:eastAsia="Times New Roman" w:hAnsi="Tajawal" w:cs="Tajawal" w:hint="cs"/>
          <w:color w:val="000000"/>
          <w:sz w:val="24"/>
          <w:szCs w:val="24"/>
          <w:lang w:val="en-YE"/>
        </w:rPr>
        <w:noBreakHyphen/>
        <w:t>by</w:t>
      </w:r>
      <w:r w:rsidRPr="00A5325C">
        <w:rPr>
          <w:rFonts w:ascii="Tajawal" w:eastAsia="Times New Roman" w:hAnsi="Tajawal" w:cs="Tajawal" w:hint="cs"/>
          <w:color w:val="000000"/>
          <w:sz w:val="24"/>
          <w:szCs w:val="24"/>
          <w:lang w:val="en-YE"/>
        </w:rPr>
        <w:noBreakHyphen/>
        <w:t>quarter, Egypt received USD 9.37</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billion in remittances during Q1</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2025, growing from USD</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8.74</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billion in Q4</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2024 </w:t>
      </w:r>
      <w:hyperlink r:id="rId11" w:tgtFrame="_blank" w:history="1">
        <w:r w:rsidRPr="00A5325C">
          <w:rPr>
            <w:rFonts w:ascii="Tajawal" w:eastAsia="Times New Roman" w:hAnsi="Tajawal" w:cs="Tajawal" w:hint="cs"/>
            <w:color w:val="0000FF"/>
            <w:sz w:val="24"/>
            <w:szCs w:val="24"/>
            <w:u w:val="single"/>
            <w:lang w:val="en-YE"/>
          </w:rPr>
          <w:t>Trading Economics+2Migration Data Portal+2</w:t>
        </w:r>
      </w:hyperlink>
      <w:r w:rsidRPr="00A5325C">
        <w:rPr>
          <w:rFonts w:ascii="Tajawal" w:eastAsia="Times New Roman" w:hAnsi="Tajawal" w:cs="Tajawal" w:hint="cs"/>
          <w:color w:val="000000"/>
          <w:sz w:val="24"/>
          <w:szCs w:val="24"/>
          <w:lang w:val="en-YE"/>
        </w:rPr>
        <w:t>.</w:t>
      </w:r>
    </w:p>
    <w:p w14:paraId="32150D4A" w14:textId="77777777" w:rsidR="00A5325C" w:rsidRPr="00A5325C" w:rsidRDefault="00A5325C" w:rsidP="00A5325C">
      <w:pPr>
        <w:spacing w:before="100" w:beforeAutospacing="1" w:after="100" w:afterAutospacing="1" w:line="240" w:lineRule="auto"/>
        <w:outlineLvl w:val="2"/>
        <w:rPr>
          <w:rFonts w:ascii="Tajawal" w:eastAsia="Times New Roman" w:hAnsi="Tajawal" w:cs="Tajawal"/>
          <w:color w:val="000000"/>
          <w:sz w:val="27"/>
          <w:szCs w:val="27"/>
          <w:lang w:val="en-YE"/>
        </w:rPr>
      </w:pPr>
      <w:r w:rsidRPr="00A5325C">
        <w:rPr>
          <w:rFonts w:ascii="Tajawal" w:eastAsia="Times New Roman" w:hAnsi="Tajawal" w:cs="Tajawal" w:hint="cs"/>
          <w:color w:val="000000"/>
          <w:sz w:val="27"/>
          <w:szCs w:val="27"/>
          <w:lang w:val="en-YE"/>
        </w:rPr>
        <w:t>South Asia (India, Bangladesh, Pakistan)</w:t>
      </w:r>
    </w:p>
    <w:p w14:paraId="6CAB9DCE" w14:textId="77777777" w:rsidR="00A5325C" w:rsidRPr="00A5325C" w:rsidRDefault="00A5325C" w:rsidP="00A5325C">
      <w:pPr>
        <w:numPr>
          <w:ilvl w:val="0"/>
          <w:numId w:val="13"/>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India received an estimated USD</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125</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billion in remittances in 2023, rising from USD</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111</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billion in 2022 and USD</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110</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billion in 2022–23 fiscal year </w:t>
      </w:r>
      <w:hyperlink r:id="rId12" w:tgtFrame="_blank" w:history="1">
        <w:r w:rsidRPr="00A5325C">
          <w:rPr>
            <w:rFonts w:ascii="Tajawal" w:eastAsia="Times New Roman" w:hAnsi="Tajawal" w:cs="Tajawal" w:hint="cs"/>
            <w:color w:val="0000FF"/>
            <w:sz w:val="24"/>
            <w:szCs w:val="24"/>
            <w:u w:val="single"/>
            <w:lang w:val="en-YE"/>
          </w:rPr>
          <w:t>Wikipedia</w:t>
        </w:r>
      </w:hyperlink>
      <w:hyperlink r:id="rId13" w:tgtFrame="_blank" w:history="1">
        <w:r w:rsidRPr="00A5325C">
          <w:rPr>
            <w:rFonts w:ascii="Tajawal" w:eastAsia="Times New Roman" w:hAnsi="Tajawal" w:cs="Tajawal" w:hint="cs"/>
            <w:color w:val="0000FF"/>
            <w:sz w:val="24"/>
            <w:szCs w:val="24"/>
            <w:u w:val="single"/>
            <w:lang w:val="en-YE"/>
          </w:rPr>
          <w:t>Wikipedia</w:t>
        </w:r>
      </w:hyperlink>
      <w:r w:rsidRPr="00A5325C">
        <w:rPr>
          <w:rFonts w:ascii="Tajawal" w:eastAsia="Times New Roman" w:hAnsi="Tajawal" w:cs="Tajawal" w:hint="cs"/>
          <w:color w:val="000000"/>
          <w:sz w:val="24"/>
          <w:szCs w:val="24"/>
          <w:lang w:val="en-YE"/>
        </w:rPr>
        <w:t>.</w:t>
      </w:r>
    </w:p>
    <w:p w14:paraId="0ED1E472" w14:textId="77777777" w:rsidR="00A5325C" w:rsidRPr="00A5325C" w:rsidRDefault="00A5325C" w:rsidP="00A5325C">
      <w:pPr>
        <w:numPr>
          <w:ilvl w:val="0"/>
          <w:numId w:val="13"/>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Bangladesh remittances are primarily from GCC countries: by fiscal year 2019–20, Saudi Arabia contributed USD</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4.0</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billion and UAE USD</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2.5</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billion </w:t>
      </w:r>
      <w:hyperlink r:id="rId14" w:tgtFrame="_blank" w:history="1">
        <w:r w:rsidRPr="00A5325C">
          <w:rPr>
            <w:rFonts w:ascii="Tajawal" w:eastAsia="Times New Roman" w:hAnsi="Tajawal" w:cs="Tajawal" w:hint="cs"/>
            <w:color w:val="0000FF"/>
            <w:sz w:val="24"/>
            <w:szCs w:val="24"/>
            <w:u w:val="single"/>
            <w:lang w:val="en-YE"/>
          </w:rPr>
          <w:t>Wikipedia</w:t>
        </w:r>
      </w:hyperlink>
      <w:r w:rsidRPr="00A5325C">
        <w:rPr>
          <w:rFonts w:ascii="Tajawal" w:eastAsia="Times New Roman" w:hAnsi="Tajawal" w:cs="Tajawal" w:hint="cs"/>
          <w:color w:val="000000"/>
          <w:sz w:val="24"/>
          <w:szCs w:val="24"/>
          <w:lang w:val="en-YE"/>
        </w:rPr>
        <w:t>.</w:t>
      </w:r>
    </w:p>
    <w:p w14:paraId="25359F97" w14:textId="77777777" w:rsidR="00A5325C" w:rsidRPr="00A5325C" w:rsidRDefault="00A5325C" w:rsidP="00A5325C">
      <w:pPr>
        <w:numPr>
          <w:ilvl w:val="0"/>
          <w:numId w:val="13"/>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Other South Asian economies such as Pakistan received roughly USD</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26</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billion in remittances by 2020</w:t>
      </w:r>
      <w:hyperlink r:id="rId15" w:tgtFrame="_blank" w:history="1">
        <w:r w:rsidRPr="00A5325C">
          <w:rPr>
            <w:rFonts w:ascii="Tajawal" w:eastAsia="Times New Roman" w:hAnsi="Tajawal" w:cs="Tajawal" w:hint="cs"/>
            <w:color w:val="0000FF"/>
            <w:sz w:val="24"/>
            <w:szCs w:val="24"/>
            <w:u w:val="single"/>
            <w:lang w:val="en-YE"/>
          </w:rPr>
          <w:t>Wikipedia</w:t>
        </w:r>
      </w:hyperlink>
      <w:hyperlink r:id="rId16" w:tgtFrame="_blank" w:history="1">
        <w:r w:rsidRPr="00A5325C">
          <w:rPr>
            <w:rFonts w:ascii="Tajawal" w:eastAsia="Times New Roman" w:hAnsi="Tajawal" w:cs="Tajawal" w:hint="cs"/>
            <w:color w:val="0000FF"/>
            <w:sz w:val="24"/>
            <w:szCs w:val="24"/>
            <w:u w:val="single"/>
            <w:lang w:val="en-YE"/>
          </w:rPr>
          <w:t>World Migration Report</w:t>
        </w:r>
      </w:hyperlink>
      <w:r w:rsidRPr="00A5325C">
        <w:rPr>
          <w:rFonts w:ascii="Tajawal" w:eastAsia="Times New Roman" w:hAnsi="Tajawal" w:cs="Tajawal" w:hint="cs"/>
          <w:color w:val="000000"/>
          <w:sz w:val="24"/>
          <w:szCs w:val="24"/>
          <w:lang w:val="en-YE"/>
        </w:rPr>
        <w:t>.</w:t>
      </w:r>
    </w:p>
    <w:p w14:paraId="153823D9" w14:textId="77777777" w:rsidR="00A5325C" w:rsidRPr="00A5325C" w:rsidRDefault="00A5325C" w:rsidP="00A5325C">
      <w:pPr>
        <w:spacing w:before="100" w:beforeAutospacing="1" w:after="100" w:afterAutospacing="1" w:line="240" w:lineRule="auto"/>
        <w:outlineLvl w:val="2"/>
        <w:rPr>
          <w:rFonts w:ascii="Tajawal" w:eastAsia="Times New Roman" w:hAnsi="Tajawal" w:cs="Tajawal"/>
          <w:color w:val="000000"/>
          <w:sz w:val="27"/>
          <w:szCs w:val="27"/>
          <w:lang w:val="en-YE"/>
        </w:rPr>
      </w:pPr>
      <w:r w:rsidRPr="00A5325C">
        <w:rPr>
          <w:rFonts w:ascii="Tajawal" w:eastAsia="Times New Roman" w:hAnsi="Tajawal" w:cs="Tajawal" w:hint="cs"/>
          <w:color w:val="000000"/>
          <w:sz w:val="27"/>
          <w:szCs w:val="27"/>
          <w:lang w:val="en-YE"/>
        </w:rPr>
        <w:t>Cost of Sending</w:t>
      </w:r>
    </w:p>
    <w:p w14:paraId="25C3F3F5" w14:textId="77777777" w:rsidR="00A5325C" w:rsidRPr="00A5325C" w:rsidRDefault="00A5325C" w:rsidP="00A5325C">
      <w:pPr>
        <w:numPr>
          <w:ilvl w:val="0"/>
          <w:numId w:val="14"/>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The global average cost of sending USD</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200 in Q3</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2023 stood at approximately 6.2</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 down from 7.5</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 in 2015—but still above the SDG target of 3</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 </w:t>
      </w:r>
      <w:hyperlink r:id="rId17" w:tgtFrame="_blank" w:history="1">
        <w:r w:rsidRPr="00A5325C">
          <w:rPr>
            <w:rFonts w:ascii="Tajawal" w:eastAsia="Times New Roman" w:hAnsi="Tajawal" w:cs="Tajawal" w:hint="cs"/>
            <w:color w:val="0000FF"/>
            <w:sz w:val="24"/>
            <w:szCs w:val="24"/>
            <w:u w:val="single"/>
            <w:lang w:val="en-YE"/>
          </w:rPr>
          <w:t>unescap.org</w:t>
        </w:r>
      </w:hyperlink>
      <w:r w:rsidRPr="00A5325C">
        <w:rPr>
          <w:rFonts w:ascii="Tajawal" w:eastAsia="Times New Roman" w:hAnsi="Tajawal" w:cs="Tajawal" w:hint="cs"/>
          <w:color w:val="000000"/>
          <w:sz w:val="24"/>
          <w:szCs w:val="24"/>
          <w:lang w:val="en-YE"/>
        </w:rPr>
        <w:t>.</w:t>
      </w:r>
    </w:p>
    <w:p w14:paraId="6972B35A" w14:textId="77777777" w:rsidR="00A5325C" w:rsidRPr="00A5325C" w:rsidRDefault="00A5325C" w:rsidP="00A5325C">
      <w:pPr>
        <w:numPr>
          <w:ilvl w:val="0"/>
          <w:numId w:val="14"/>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In MENA corridors: sending USD</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200 cost ~5.9</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 on average in Q2–Q3</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2023 </w:t>
      </w:r>
      <w:hyperlink r:id="rId18" w:tgtFrame="_blank" w:history="1">
        <w:r w:rsidRPr="00A5325C">
          <w:rPr>
            <w:rFonts w:ascii="Tajawal" w:eastAsia="Times New Roman" w:hAnsi="Tajawal" w:cs="Tajawal" w:hint="cs"/>
            <w:color w:val="0000FF"/>
            <w:sz w:val="24"/>
            <w:szCs w:val="24"/>
            <w:u w:val="single"/>
            <w:lang w:val="en-YE"/>
          </w:rPr>
          <w:t>World Bank+1</w:t>
        </w:r>
      </w:hyperlink>
      <w:r w:rsidRPr="00A5325C">
        <w:rPr>
          <w:rFonts w:ascii="Tajawal" w:eastAsia="Times New Roman" w:hAnsi="Tajawal" w:cs="Tajawal" w:hint="cs"/>
          <w:color w:val="000000"/>
          <w:sz w:val="24"/>
          <w:szCs w:val="24"/>
          <w:lang w:val="en-YE"/>
        </w:rPr>
        <w:t>.</w:t>
      </w:r>
    </w:p>
    <w:p w14:paraId="70576A1F" w14:textId="77777777" w:rsidR="00A5325C" w:rsidRPr="00A5325C" w:rsidRDefault="00A5325C" w:rsidP="00A5325C">
      <w:pPr>
        <w:numPr>
          <w:ilvl w:val="0"/>
          <w:numId w:val="14"/>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 xml:space="preserve">Some low-cost corridors via GCC (e.g. UAE </w:t>
      </w:r>
      <w:r w:rsidRPr="00A5325C">
        <w:rPr>
          <w:rFonts w:ascii="Times New Roman" w:eastAsia="Times New Roman" w:hAnsi="Times New Roman" w:cs="Times New Roman"/>
          <w:color w:val="000000"/>
          <w:sz w:val="24"/>
          <w:szCs w:val="24"/>
          <w:lang w:val="en-YE"/>
        </w:rPr>
        <w:t>→</w:t>
      </w:r>
      <w:r w:rsidRPr="00A5325C">
        <w:rPr>
          <w:rFonts w:ascii="Tajawal" w:eastAsia="Times New Roman" w:hAnsi="Tajawal" w:cs="Tajawal" w:hint="cs"/>
          <w:color w:val="000000"/>
          <w:sz w:val="24"/>
          <w:szCs w:val="24"/>
          <w:lang w:val="en-YE"/>
        </w:rPr>
        <w:t xml:space="preserve"> Pakistan at ~1.52</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 xml:space="preserve">%, Saudi Arabia </w:t>
      </w:r>
      <w:r w:rsidRPr="00A5325C">
        <w:rPr>
          <w:rFonts w:ascii="Times New Roman" w:eastAsia="Times New Roman" w:hAnsi="Times New Roman" w:cs="Times New Roman"/>
          <w:color w:val="000000"/>
          <w:sz w:val="24"/>
          <w:szCs w:val="24"/>
          <w:lang w:val="en-YE"/>
        </w:rPr>
        <w:t>→</w:t>
      </w:r>
      <w:r w:rsidRPr="00A5325C">
        <w:rPr>
          <w:rFonts w:ascii="Tajawal" w:eastAsia="Times New Roman" w:hAnsi="Tajawal" w:cs="Tajawal" w:hint="cs"/>
          <w:color w:val="000000"/>
          <w:sz w:val="24"/>
          <w:szCs w:val="24"/>
          <w:lang w:val="en-YE"/>
        </w:rPr>
        <w:t xml:space="preserve"> Yemen at ~2.5</w:t>
      </w:r>
      <w:r w:rsidRPr="00A5325C">
        <w:rPr>
          <w:rFonts w:ascii="Times New Roman" w:eastAsia="Times New Roman" w:hAnsi="Times New Roman" w:cs="Times New Roman"/>
          <w:color w:val="000000"/>
          <w:sz w:val="24"/>
          <w:szCs w:val="24"/>
          <w:lang w:val="en-YE"/>
        </w:rPr>
        <w:t> </w:t>
      </w:r>
      <w:r w:rsidRPr="00A5325C">
        <w:rPr>
          <w:rFonts w:ascii="Tajawal" w:eastAsia="Times New Roman" w:hAnsi="Tajawal" w:cs="Tajawal" w:hint="cs"/>
          <w:color w:val="000000"/>
          <w:sz w:val="24"/>
          <w:szCs w:val="24"/>
          <w:lang w:val="en-YE"/>
        </w:rPr>
        <w:t>%) are significantly below the global average </w:t>
      </w:r>
      <w:hyperlink r:id="rId19" w:tgtFrame="_blank" w:history="1">
        <w:r w:rsidRPr="00A5325C">
          <w:rPr>
            <w:rFonts w:ascii="Tajawal" w:eastAsia="Times New Roman" w:hAnsi="Tajawal" w:cs="Tajawal" w:hint="cs"/>
            <w:color w:val="0000FF"/>
            <w:sz w:val="24"/>
            <w:szCs w:val="24"/>
            <w:u w:val="single"/>
            <w:lang w:val="en-YE"/>
          </w:rPr>
          <w:t>unescap.org</w:t>
        </w:r>
      </w:hyperlink>
      <w:r w:rsidRPr="00A5325C">
        <w:rPr>
          <w:rFonts w:ascii="Tajawal" w:eastAsia="Times New Roman" w:hAnsi="Tajawal" w:cs="Tajawal" w:hint="cs"/>
          <w:color w:val="000000"/>
          <w:sz w:val="24"/>
          <w:szCs w:val="24"/>
          <w:lang w:val="en-YE"/>
        </w:rPr>
        <w:t>.</w:t>
      </w:r>
    </w:p>
    <w:p w14:paraId="648F0CB6" w14:textId="77777777" w:rsidR="00A5325C" w:rsidRPr="00A5325C" w:rsidRDefault="00E707B4" w:rsidP="00A5325C">
      <w:pPr>
        <w:spacing w:line="240" w:lineRule="auto"/>
        <w:rPr>
          <w:rFonts w:ascii="Tajawal" w:eastAsia="Times New Roman" w:hAnsi="Tajawal" w:cs="Tajawal"/>
          <w:sz w:val="24"/>
          <w:szCs w:val="24"/>
          <w:lang w:val="en-YE"/>
        </w:rPr>
      </w:pPr>
      <w:r>
        <w:rPr>
          <w:noProof/>
        </w:rPr>
      </w:r>
      <w:r>
        <w:pict w14:anchorId="6F782FB4">
          <v:rect id="Horizontal Line 7" o:spid="_x0000_s1036"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" fillcolor="black" stroked="f">
            <o:lock v:ext="edit" rotation="t" aspectratio="t" verticies="t" text="t" shapetype="t"/>
            <w10:anchorlock/>
          </v:rect>
        </w:pict>
      </w:r>
    </w:p>
    <w:p w14:paraId="36362C4F" w14:textId="77777777" w:rsidR="00E77252" w:rsidRDefault="00E77252" w:rsidP="00A5325C">
      <w:pPr>
        <w:spacing w:before="100" w:beforeAutospacing="1" w:after="100" w:afterAutospacing="1" w:line="240" w:lineRule="auto"/>
        <w:outlineLvl w:val="1"/>
        <w:rPr>
          <w:rFonts w:ascii="Apple Color Emoji" w:eastAsia="Times New Roman" w:hAnsi="Apple Color Emoji" w:cs="Apple Color Emoji"/>
          <w:color w:val="000000"/>
          <w:sz w:val="36"/>
          <w:szCs w:val="36"/>
          <w:lang w:val="en-YE"/>
        </w:rPr>
      </w:pPr>
    </w:p>
    <w:p w14:paraId="5EE7A012" w14:textId="437337F3" w:rsidR="00A5325C" w:rsidRPr="00A5325C" w:rsidRDefault="00A5325C" w:rsidP="00A5325C">
      <w:pPr>
        <w:spacing w:before="100" w:beforeAutospacing="1" w:after="100" w:afterAutospacing="1" w:line="240" w:lineRule="auto"/>
        <w:outlineLvl w:val="1"/>
        <w:rPr>
          <w:rFonts w:ascii="Tajawal" w:eastAsia="Times New Roman" w:hAnsi="Tajawal" w:cs="Tajawal"/>
          <w:color w:val="000000"/>
          <w:sz w:val="36"/>
          <w:szCs w:val="36"/>
          <w:lang w:val="en-YE"/>
        </w:rPr>
      </w:pPr>
      <w:r w:rsidRPr="00A5325C">
        <w:rPr>
          <w:rFonts w:ascii="Apple Color Emoji" w:eastAsia="Times New Roman" w:hAnsi="Apple Color Emoji" w:cs="Apple Color Emoji"/>
          <w:color w:val="000000"/>
          <w:sz w:val="36"/>
          <w:szCs w:val="36"/>
          <w:lang w:val="en-YE"/>
        </w:rPr>
        <w:lastRenderedPageBreak/>
        <w:t>🔍</w:t>
      </w:r>
      <w:r w:rsidRPr="00A5325C">
        <w:rPr>
          <w:rFonts w:ascii="Tajawal" w:eastAsia="Times New Roman" w:hAnsi="Tajawal" w:cs="Tajawal" w:hint="cs"/>
          <w:color w:val="000000"/>
          <w:sz w:val="36"/>
          <w:szCs w:val="36"/>
          <w:lang w:val="en-YE"/>
        </w:rPr>
        <w:t xml:space="preserve"> Highlights for Key Corridors</w:t>
      </w:r>
    </w:p>
    <w:tbl>
      <w:tblPr>
        <w:tblStyle w:val="TableGrid"/>
        <w:tblW w:w="0" w:type="auto"/>
        <w:tblLook w:val="04A0" w:firstRow="1" w:lastRow="0" w:firstColumn="1" w:lastColumn="0" w:noHBand="0" w:noVBand="1"/>
      </w:tblPr>
      <w:tblGrid>
        <w:gridCol w:w="1763"/>
        <w:gridCol w:w="2471"/>
        <w:gridCol w:w="2995"/>
        <w:gridCol w:w="2121"/>
      </w:tblGrid>
      <w:tr w:rsidR="00E77252" w:rsidRPr="00A5325C" w14:paraId="6D08059D" w14:textId="77777777" w:rsidTr="00E77252">
        <w:tc>
          <w:tcPr>
            <w:tcW w:w="0" w:type="auto"/>
            <w:hideMark/>
          </w:tcPr>
          <w:p w14:paraId="76F4B956" w14:textId="77777777" w:rsidR="00A5325C" w:rsidRPr="00A5325C" w:rsidRDefault="00A5325C" w:rsidP="00A5325C">
            <w:pPr>
              <w:spacing w:line="240" w:lineRule="auto"/>
              <w:jc w:val="center"/>
              <w:rPr>
                <w:rFonts w:ascii="Tajawal" w:eastAsia="Times New Roman" w:hAnsi="Tajawal" w:cs="Tajawal"/>
                <w:b/>
                <w:bCs/>
                <w:sz w:val="24"/>
                <w:szCs w:val="24"/>
                <w:lang w:val="en-YE"/>
              </w:rPr>
            </w:pPr>
            <w:r w:rsidRPr="00A5325C">
              <w:rPr>
                <w:rFonts w:ascii="Tajawal" w:eastAsia="Times New Roman" w:hAnsi="Tajawal" w:cs="Tajawal" w:hint="cs"/>
                <w:b/>
                <w:bCs/>
                <w:sz w:val="24"/>
                <w:szCs w:val="24"/>
                <w:lang w:val="en-YE"/>
              </w:rPr>
              <w:t>Corridor</w:t>
            </w:r>
          </w:p>
        </w:tc>
        <w:tc>
          <w:tcPr>
            <w:tcW w:w="0" w:type="auto"/>
            <w:hideMark/>
          </w:tcPr>
          <w:p w14:paraId="2577208A" w14:textId="77777777" w:rsidR="00A5325C" w:rsidRPr="00A5325C" w:rsidRDefault="00A5325C" w:rsidP="00A5325C">
            <w:pPr>
              <w:spacing w:line="240" w:lineRule="auto"/>
              <w:jc w:val="center"/>
              <w:rPr>
                <w:rFonts w:ascii="Tajawal" w:eastAsia="Times New Roman" w:hAnsi="Tajawal" w:cs="Tajawal"/>
                <w:b/>
                <w:bCs/>
                <w:sz w:val="24"/>
                <w:szCs w:val="24"/>
                <w:lang w:val="en-YE"/>
              </w:rPr>
            </w:pPr>
            <w:r w:rsidRPr="00A5325C">
              <w:rPr>
                <w:rFonts w:ascii="Tajawal" w:eastAsia="Times New Roman" w:hAnsi="Tajawal" w:cs="Tajawal" w:hint="cs"/>
                <w:b/>
                <w:bCs/>
                <w:sz w:val="24"/>
                <w:szCs w:val="24"/>
                <w:lang w:val="en-YE"/>
              </w:rPr>
              <w:t>Estimated Annual Receipts</w:t>
            </w:r>
          </w:p>
        </w:tc>
        <w:tc>
          <w:tcPr>
            <w:tcW w:w="0" w:type="auto"/>
            <w:hideMark/>
          </w:tcPr>
          <w:p w14:paraId="66281131" w14:textId="77777777" w:rsidR="00A5325C" w:rsidRPr="00A5325C" w:rsidRDefault="00A5325C" w:rsidP="00A5325C">
            <w:pPr>
              <w:spacing w:line="240" w:lineRule="auto"/>
              <w:jc w:val="center"/>
              <w:rPr>
                <w:rFonts w:ascii="Tajawal" w:eastAsia="Times New Roman" w:hAnsi="Tajawal" w:cs="Tajawal"/>
                <w:b/>
                <w:bCs/>
                <w:sz w:val="24"/>
                <w:szCs w:val="24"/>
                <w:lang w:val="en-YE"/>
              </w:rPr>
            </w:pPr>
            <w:r w:rsidRPr="00A5325C">
              <w:rPr>
                <w:rFonts w:ascii="Tajawal" w:eastAsia="Times New Roman" w:hAnsi="Tajawal" w:cs="Tajawal" w:hint="cs"/>
                <w:b/>
                <w:bCs/>
                <w:sz w:val="24"/>
                <w:szCs w:val="24"/>
                <w:lang w:val="en-YE"/>
              </w:rPr>
              <w:t>Growth / Trend</w:t>
            </w:r>
          </w:p>
        </w:tc>
        <w:tc>
          <w:tcPr>
            <w:tcW w:w="0" w:type="auto"/>
            <w:hideMark/>
          </w:tcPr>
          <w:p w14:paraId="2A287472" w14:textId="77777777" w:rsidR="00A5325C" w:rsidRPr="00A5325C" w:rsidRDefault="00A5325C" w:rsidP="00A5325C">
            <w:pPr>
              <w:spacing w:line="240" w:lineRule="auto"/>
              <w:jc w:val="center"/>
              <w:rPr>
                <w:rFonts w:ascii="Tajawal" w:eastAsia="Times New Roman" w:hAnsi="Tajawal" w:cs="Tajawal"/>
                <w:b/>
                <w:bCs/>
                <w:sz w:val="24"/>
                <w:szCs w:val="24"/>
                <w:lang w:val="en-YE"/>
              </w:rPr>
            </w:pPr>
            <w:r w:rsidRPr="00A5325C">
              <w:rPr>
                <w:rFonts w:ascii="Tajawal" w:eastAsia="Times New Roman" w:hAnsi="Tajawal" w:cs="Tajawal" w:hint="cs"/>
                <w:b/>
                <w:bCs/>
                <w:sz w:val="24"/>
                <w:szCs w:val="24"/>
                <w:lang w:val="en-YE"/>
              </w:rPr>
              <w:t>Cost of Sending (USD</w:t>
            </w:r>
            <w:r w:rsidRPr="00A5325C">
              <w:rPr>
                <w:rFonts w:ascii="Times New Roman" w:eastAsia="Times New Roman" w:hAnsi="Times New Roman" w:cs="Times New Roman"/>
                <w:b/>
                <w:bCs/>
                <w:sz w:val="24"/>
                <w:szCs w:val="24"/>
                <w:lang w:val="en-YE"/>
              </w:rPr>
              <w:t> </w:t>
            </w:r>
            <w:r w:rsidRPr="00A5325C">
              <w:rPr>
                <w:rFonts w:ascii="Tajawal" w:eastAsia="Times New Roman" w:hAnsi="Tajawal" w:cs="Tajawal" w:hint="cs"/>
                <w:b/>
                <w:bCs/>
                <w:sz w:val="24"/>
                <w:szCs w:val="24"/>
                <w:lang w:val="en-YE"/>
              </w:rPr>
              <w:t>200)</w:t>
            </w:r>
          </w:p>
        </w:tc>
      </w:tr>
      <w:tr w:rsidR="00E77252" w:rsidRPr="00A5325C" w14:paraId="5A73F335" w14:textId="77777777" w:rsidTr="00E77252">
        <w:tc>
          <w:tcPr>
            <w:tcW w:w="0" w:type="auto"/>
            <w:hideMark/>
          </w:tcPr>
          <w:p w14:paraId="67CC4DD2" w14:textId="77777777" w:rsidR="00A5325C" w:rsidRPr="00A5325C" w:rsidRDefault="00A5325C" w:rsidP="00A5325C">
            <w:pPr>
              <w:spacing w:line="240" w:lineRule="auto"/>
              <w:rPr>
                <w:rFonts w:ascii="Tajawal" w:eastAsia="Times New Roman" w:hAnsi="Tajawal" w:cs="Tajawal"/>
                <w:sz w:val="24"/>
                <w:szCs w:val="24"/>
                <w:lang w:val="en-YE"/>
              </w:rPr>
            </w:pPr>
            <w:r w:rsidRPr="00A5325C">
              <w:rPr>
                <w:rFonts w:ascii="Tajawal" w:eastAsia="Times New Roman" w:hAnsi="Tajawal" w:cs="Tajawal" w:hint="cs"/>
                <w:sz w:val="24"/>
                <w:szCs w:val="24"/>
                <w:lang w:val="en-YE"/>
              </w:rPr>
              <w:t xml:space="preserve">GCC </w:t>
            </w:r>
            <w:r w:rsidRPr="00A5325C">
              <w:rPr>
                <w:rFonts w:ascii="Times New Roman" w:eastAsia="Times New Roman" w:hAnsi="Times New Roman" w:cs="Times New Roman"/>
                <w:sz w:val="24"/>
                <w:szCs w:val="24"/>
                <w:lang w:val="en-YE"/>
              </w:rPr>
              <w:t>→</w:t>
            </w:r>
            <w:r w:rsidRPr="00A5325C">
              <w:rPr>
                <w:rFonts w:ascii="Tajawal" w:eastAsia="Times New Roman" w:hAnsi="Tajawal" w:cs="Tajawal" w:hint="cs"/>
                <w:sz w:val="24"/>
                <w:szCs w:val="24"/>
                <w:lang w:val="en-YE"/>
              </w:rPr>
              <w:t xml:space="preserve"> Egypt</w:t>
            </w:r>
          </w:p>
        </w:tc>
        <w:tc>
          <w:tcPr>
            <w:tcW w:w="0" w:type="auto"/>
            <w:hideMark/>
          </w:tcPr>
          <w:p w14:paraId="23D25FCF" w14:textId="77777777" w:rsidR="00A5325C" w:rsidRPr="00A5325C" w:rsidRDefault="00A5325C" w:rsidP="00A5325C">
            <w:pPr>
              <w:spacing w:line="240" w:lineRule="auto"/>
              <w:rPr>
                <w:rFonts w:ascii="Tajawal" w:eastAsia="Times New Roman" w:hAnsi="Tajawal" w:cs="Tajawal"/>
                <w:sz w:val="24"/>
                <w:szCs w:val="24"/>
                <w:lang w:val="en-YE"/>
              </w:rPr>
            </w:pPr>
            <w:r w:rsidRPr="00A5325C">
              <w:rPr>
                <w:rFonts w:ascii="Tajawal" w:eastAsia="Times New Roman" w:hAnsi="Tajawal" w:cs="Tajawal" w:hint="cs"/>
                <w:sz w:val="24"/>
                <w:szCs w:val="24"/>
                <w:lang w:val="en-YE"/>
              </w:rPr>
              <w:t>~USD</w:t>
            </w:r>
            <w:r w:rsidRPr="00A5325C">
              <w:rPr>
                <w:rFonts w:ascii="Times New Roman" w:eastAsia="Times New Roman" w:hAnsi="Times New Roman" w:cs="Times New Roman"/>
                <w:sz w:val="24"/>
                <w:szCs w:val="24"/>
                <w:lang w:val="en-YE"/>
              </w:rPr>
              <w:t> </w:t>
            </w:r>
            <w:r w:rsidRPr="00A5325C">
              <w:rPr>
                <w:rFonts w:ascii="Tajawal" w:eastAsia="Times New Roman" w:hAnsi="Tajawal" w:cs="Tajawal" w:hint="cs"/>
                <w:sz w:val="24"/>
                <w:szCs w:val="24"/>
                <w:lang w:val="en-YE"/>
              </w:rPr>
              <w:t>23.7</w:t>
            </w:r>
            <w:r w:rsidRPr="00A5325C">
              <w:rPr>
                <w:rFonts w:ascii="Times New Roman" w:eastAsia="Times New Roman" w:hAnsi="Times New Roman" w:cs="Times New Roman"/>
                <w:sz w:val="24"/>
                <w:szCs w:val="24"/>
                <w:lang w:val="en-YE"/>
              </w:rPr>
              <w:t> </w:t>
            </w:r>
            <w:r w:rsidRPr="00A5325C">
              <w:rPr>
                <w:rFonts w:ascii="Tajawal" w:eastAsia="Times New Roman" w:hAnsi="Tajawal" w:cs="Tajawal" w:hint="cs"/>
                <w:sz w:val="24"/>
                <w:szCs w:val="24"/>
                <w:lang w:val="en-YE"/>
              </w:rPr>
              <w:t>billion (2024 YTD)</w:t>
            </w:r>
          </w:p>
        </w:tc>
        <w:tc>
          <w:tcPr>
            <w:tcW w:w="0" w:type="auto"/>
            <w:hideMark/>
          </w:tcPr>
          <w:p w14:paraId="58B25EF7" w14:textId="77777777" w:rsidR="00A5325C" w:rsidRPr="00A5325C" w:rsidRDefault="00A5325C" w:rsidP="00A5325C">
            <w:pPr>
              <w:spacing w:line="240" w:lineRule="auto"/>
              <w:rPr>
                <w:rFonts w:ascii="Tajawal" w:eastAsia="Times New Roman" w:hAnsi="Tajawal" w:cs="Tajawal"/>
                <w:sz w:val="24"/>
                <w:szCs w:val="24"/>
                <w:lang w:val="en-YE"/>
              </w:rPr>
            </w:pPr>
            <w:r w:rsidRPr="00A5325C">
              <w:rPr>
                <w:rFonts w:ascii="Tajawal" w:eastAsia="Times New Roman" w:hAnsi="Tajawal" w:cs="Tajawal" w:hint="cs"/>
                <w:sz w:val="24"/>
                <w:szCs w:val="24"/>
                <w:lang w:val="en-YE"/>
              </w:rPr>
              <w:t>+45</w:t>
            </w:r>
            <w:r w:rsidRPr="00A5325C">
              <w:rPr>
                <w:rFonts w:ascii="Times New Roman" w:eastAsia="Times New Roman" w:hAnsi="Times New Roman" w:cs="Times New Roman"/>
                <w:sz w:val="24"/>
                <w:szCs w:val="24"/>
                <w:lang w:val="en-YE"/>
              </w:rPr>
              <w:t> </w:t>
            </w:r>
            <w:r w:rsidRPr="00A5325C">
              <w:rPr>
                <w:rFonts w:ascii="Tajawal" w:eastAsia="Times New Roman" w:hAnsi="Tajawal" w:cs="Tajawal" w:hint="cs"/>
                <w:sz w:val="24"/>
                <w:szCs w:val="24"/>
                <w:lang w:val="en-YE"/>
              </w:rPr>
              <w:t>% YoY (Jan–Oct 2024)</w:t>
            </w:r>
          </w:p>
        </w:tc>
        <w:tc>
          <w:tcPr>
            <w:tcW w:w="0" w:type="auto"/>
            <w:hideMark/>
          </w:tcPr>
          <w:p w14:paraId="4DF2109B" w14:textId="77777777" w:rsidR="00A5325C" w:rsidRPr="00A5325C" w:rsidRDefault="00A5325C" w:rsidP="00A5325C">
            <w:pPr>
              <w:spacing w:line="240" w:lineRule="auto"/>
              <w:rPr>
                <w:rFonts w:ascii="Tajawal" w:eastAsia="Times New Roman" w:hAnsi="Tajawal" w:cs="Tajawal"/>
                <w:sz w:val="24"/>
                <w:szCs w:val="24"/>
                <w:lang w:val="en-YE"/>
              </w:rPr>
            </w:pPr>
            <w:r w:rsidRPr="00A5325C">
              <w:rPr>
                <w:rFonts w:ascii="Tajawal" w:eastAsia="Times New Roman" w:hAnsi="Tajawal" w:cs="Tajawal" w:hint="cs"/>
                <w:sz w:val="24"/>
                <w:szCs w:val="24"/>
                <w:lang w:val="en-YE"/>
              </w:rPr>
              <w:t>~5.9</w:t>
            </w:r>
            <w:r w:rsidRPr="00A5325C">
              <w:rPr>
                <w:rFonts w:ascii="Times New Roman" w:eastAsia="Times New Roman" w:hAnsi="Times New Roman" w:cs="Times New Roman"/>
                <w:sz w:val="24"/>
                <w:szCs w:val="24"/>
                <w:lang w:val="en-YE"/>
              </w:rPr>
              <w:t> </w:t>
            </w:r>
            <w:r w:rsidRPr="00A5325C">
              <w:rPr>
                <w:rFonts w:ascii="Tajawal" w:eastAsia="Times New Roman" w:hAnsi="Tajawal" w:cs="Tajawal" w:hint="cs"/>
                <w:sz w:val="24"/>
                <w:szCs w:val="24"/>
                <w:lang w:val="en-YE"/>
              </w:rPr>
              <w:t>% average</w:t>
            </w:r>
          </w:p>
        </w:tc>
      </w:tr>
      <w:tr w:rsidR="00E77252" w:rsidRPr="00A5325C" w14:paraId="46537C40" w14:textId="77777777" w:rsidTr="00E77252">
        <w:tc>
          <w:tcPr>
            <w:tcW w:w="0" w:type="auto"/>
            <w:hideMark/>
          </w:tcPr>
          <w:p w14:paraId="2D461D7C" w14:textId="77777777" w:rsidR="00A5325C" w:rsidRPr="00A5325C" w:rsidRDefault="00A5325C" w:rsidP="00A5325C">
            <w:pPr>
              <w:spacing w:line="240" w:lineRule="auto"/>
              <w:rPr>
                <w:rFonts w:ascii="Tajawal" w:eastAsia="Times New Roman" w:hAnsi="Tajawal" w:cs="Tajawal"/>
                <w:sz w:val="24"/>
                <w:szCs w:val="24"/>
                <w:lang w:val="en-YE"/>
              </w:rPr>
            </w:pPr>
            <w:r w:rsidRPr="00A5325C">
              <w:rPr>
                <w:rFonts w:ascii="Tajawal" w:eastAsia="Times New Roman" w:hAnsi="Tajawal" w:cs="Tajawal" w:hint="cs"/>
                <w:sz w:val="24"/>
                <w:szCs w:val="24"/>
                <w:lang w:val="en-YE"/>
              </w:rPr>
              <w:t xml:space="preserve">GCC </w:t>
            </w:r>
            <w:r w:rsidRPr="00A5325C">
              <w:rPr>
                <w:rFonts w:ascii="Times New Roman" w:eastAsia="Times New Roman" w:hAnsi="Times New Roman" w:cs="Times New Roman"/>
                <w:sz w:val="24"/>
                <w:szCs w:val="24"/>
                <w:lang w:val="en-YE"/>
              </w:rPr>
              <w:t>→</w:t>
            </w:r>
            <w:r w:rsidRPr="00A5325C">
              <w:rPr>
                <w:rFonts w:ascii="Tajawal" w:eastAsia="Times New Roman" w:hAnsi="Tajawal" w:cs="Tajawal" w:hint="cs"/>
                <w:sz w:val="24"/>
                <w:szCs w:val="24"/>
                <w:lang w:val="en-YE"/>
              </w:rPr>
              <w:t xml:space="preserve"> India</w:t>
            </w:r>
          </w:p>
        </w:tc>
        <w:tc>
          <w:tcPr>
            <w:tcW w:w="0" w:type="auto"/>
            <w:hideMark/>
          </w:tcPr>
          <w:p w14:paraId="75E5E0BB" w14:textId="77777777" w:rsidR="00A5325C" w:rsidRPr="00A5325C" w:rsidRDefault="00A5325C" w:rsidP="00A5325C">
            <w:pPr>
              <w:spacing w:line="240" w:lineRule="auto"/>
              <w:rPr>
                <w:rFonts w:ascii="Tajawal" w:eastAsia="Times New Roman" w:hAnsi="Tajawal" w:cs="Tajawal"/>
                <w:sz w:val="24"/>
                <w:szCs w:val="24"/>
                <w:lang w:val="en-YE"/>
              </w:rPr>
            </w:pPr>
            <w:r w:rsidRPr="00A5325C">
              <w:rPr>
                <w:rFonts w:ascii="Tajawal" w:eastAsia="Times New Roman" w:hAnsi="Tajawal" w:cs="Tajawal" w:hint="cs"/>
                <w:sz w:val="24"/>
                <w:szCs w:val="24"/>
                <w:lang w:val="en-YE"/>
              </w:rPr>
              <w:t>~USD</w:t>
            </w:r>
            <w:r w:rsidRPr="00A5325C">
              <w:rPr>
                <w:rFonts w:ascii="Times New Roman" w:eastAsia="Times New Roman" w:hAnsi="Times New Roman" w:cs="Times New Roman"/>
                <w:sz w:val="24"/>
                <w:szCs w:val="24"/>
                <w:lang w:val="en-YE"/>
              </w:rPr>
              <w:t> </w:t>
            </w:r>
            <w:r w:rsidRPr="00A5325C">
              <w:rPr>
                <w:rFonts w:ascii="Tajawal" w:eastAsia="Times New Roman" w:hAnsi="Tajawal" w:cs="Tajawal" w:hint="cs"/>
                <w:sz w:val="24"/>
                <w:szCs w:val="24"/>
                <w:lang w:val="en-YE"/>
              </w:rPr>
              <w:t>110–125</w:t>
            </w:r>
            <w:r w:rsidRPr="00A5325C">
              <w:rPr>
                <w:rFonts w:ascii="Times New Roman" w:eastAsia="Times New Roman" w:hAnsi="Times New Roman" w:cs="Times New Roman"/>
                <w:sz w:val="24"/>
                <w:szCs w:val="24"/>
                <w:lang w:val="en-YE"/>
              </w:rPr>
              <w:t> </w:t>
            </w:r>
            <w:r w:rsidRPr="00A5325C">
              <w:rPr>
                <w:rFonts w:ascii="Tajawal" w:eastAsia="Times New Roman" w:hAnsi="Tajawal" w:cs="Tajawal" w:hint="cs"/>
                <w:sz w:val="24"/>
                <w:szCs w:val="24"/>
                <w:lang w:val="en-YE"/>
              </w:rPr>
              <w:t>billion</w:t>
            </w:r>
          </w:p>
        </w:tc>
        <w:tc>
          <w:tcPr>
            <w:tcW w:w="0" w:type="auto"/>
            <w:hideMark/>
          </w:tcPr>
          <w:p w14:paraId="0EEB591A" w14:textId="77777777" w:rsidR="00A5325C" w:rsidRPr="00A5325C" w:rsidRDefault="00A5325C" w:rsidP="00A5325C">
            <w:pPr>
              <w:spacing w:line="240" w:lineRule="auto"/>
              <w:rPr>
                <w:rFonts w:ascii="Tajawal" w:eastAsia="Times New Roman" w:hAnsi="Tajawal" w:cs="Tajawal"/>
                <w:sz w:val="24"/>
                <w:szCs w:val="24"/>
                <w:lang w:val="en-YE"/>
              </w:rPr>
            </w:pPr>
            <w:r w:rsidRPr="00A5325C">
              <w:rPr>
                <w:rFonts w:ascii="Tajawal" w:eastAsia="Times New Roman" w:hAnsi="Tajawal" w:cs="Tajawal" w:hint="cs"/>
                <w:sz w:val="24"/>
                <w:szCs w:val="24"/>
                <w:lang w:val="en-YE"/>
              </w:rPr>
              <w:t>Steady strong inflow</w:t>
            </w:r>
          </w:p>
        </w:tc>
        <w:tc>
          <w:tcPr>
            <w:tcW w:w="0" w:type="auto"/>
            <w:hideMark/>
          </w:tcPr>
          <w:p w14:paraId="75C5F4F6" w14:textId="77777777" w:rsidR="00A5325C" w:rsidRPr="00A5325C" w:rsidRDefault="00A5325C" w:rsidP="00A5325C">
            <w:pPr>
              <w:spacing w:line="240" w:lineRule="auto"/>
              <w:rPr>
                <w:rFonts w:ascii="Tajawal" w:eastAsia="Times New Roman" w:hAnsi="Tajawal" w:cs="Tajawal"/>
                <w:sz w:val="24"/>
                <w:szCs w:val="24"/>
                <w:lang w:val="en-YE"/>
              </w:rPr>
            </w:pPr>
            <w:r w:rsidRPr="00A5325C">
              <w:rPr>
                <w:rFonts w:ascii="Tajawal" w:eastAsia="Times New Roman" w:hAnsi="Tajawal" w:cs="Tajawal" w:hint="cs"/>
                <w:sz w:val="24"/>
                <w:szCs w:val="24"/>
                <w:lang w:val="en-YE"/>
              </w:rPr>
              <w:t>~5–6</w:t>
            </w:r>
            <w:r w:rsidRPr="00A5325C">
              <w:rPr>
                <w:rFonts w:ascii="Times New Roman" w:eastAsia="Times New Roman" w:hAnsi="Times New Roman" w:cs="Times New Roman"/>
                <w:sz w:val="24"/>
                <w:szCs w:val="24"/>
                <w:lang w:val="en-YE"/>
              </w:rPr>
              <w:t> </w:t>
            </w:r>
            <w:r w:rsidRPr="00A5325C">
              <w:rPr>
                <w:rFonts w:ascii="Tajawal" w:eastAsia="Times New Roman" w:hAnsi="Tajawal" w:cs="Tajawal" w:hint="cs"/>
                <w:sz w:val="24"/>
                <w:szCs w:val="24"/>
                <w:lang w:val="en-YE"/>
              </w:rPr>
              <w:t>%</w:t>
            </w:r>
          </w:p>
        </w:tc>
      </w:tr>
      <w:tr w:rsidR="00E77252" w:rsidRPr="00A5325C" w14:paraId="5AB192CF" w14:textId="77777777" w:rsidTr="00E77252">
        <w:tc>
          <w:tcPr>
            <w:tcW w:w="0" w:type="auto"/>
            <w:hideMark/>
          </w:tcPr>
          <w:p w14:paraId="0BD278E6" w14:textId="77777777" w:rsidR="00A5325C" w:rsidRPr="00A5325C" w:rsidRDefault="00A5325C" w:rsidP="00A5325C">
            <w:pPr>
              <w:spacing w:line="240" w:lineRule="auto"/>
              <w:rPr>
                <w:rFonts w:ascii="Tajawal" w:eastAsia="Times New Roman" w:hAnsi="Tajawal" w:cs="Tajawal"/>
                <w:sz w:val="24"/>
                <w:szCs w:val="24"/>
                <w:lang w:val="en-YE"/>
              </w:rPr>
            </w:pPr>
            <w:r w:rsidRPr="00A5325C">
              <w:rPr>
                <w:rFonts w:ascii="Tajawal" w:eastAsia="Times New Roman" w:hAnsi="Tajawal" w:cs="Tajawal" w:hint="cs"/>
                <w:sz w:val="24"/>
                <w:szCs w:val="24"/>
                <w:lang w:val="en-YE"/>
              </w:rPr>
              <w:t xml:space="preserve">GCC </w:t>
            </w:r>
            <w:r w:rsidRPr="00A5325C">
              <w:rPr>
                <w:rFonts w:ascii="Times New Roman" w:eastAsia="Times New Roman" w:hAnsi="Times New Roman" w:cs="Times New Roman"/>
                <w:sz w:val="24"/>
                <w:szCs w:val="24"/>
                <w:lang w:val="en-YE"/>
              </w:rPr>
              <w:t>→</w:t>
            </w:r>
            <w:r w:rsidRPr="00A5325C">
              <w:rPr>
                <w:rFonts w:ascii="Tajawal" w:eastAsia="Times New Roman" w:hAnsi="Tajawal" w:cs="Tajawal" w:hint="cs"/>
                <w:sz w:val="24"/>
                <w:szCs w:val="24"/>
                <w:lang w:val="en-YE"/>
              </w:rPr>
              <w:t xml:space="preserve"> Bangladesh</w:t>
            </w:r>
          </w:p>
        </w:tc>
        <w:tc>
          <w:tcPr>
            <w:tcW w:w="0" w:type="auto"/>
            <w:hideMark/>
          </w:tcPr>
          <w:p w14:paraId="2474B446" w14:textId="77777777" w:rsidR="00A5325C" w:rsidRPr="00A5325C" w:rsidRDefault="00A5325C" w:rsidP="00A5325C">
            <w:pPr>
              <w:spacing w:line="240" w:lineRule="auto"/>
              <w:rPr>
                <w:rFonts w:ascii="Tajawal" w:eastAsia="Times New Roman" w:hAnsi="Tajawal" w:cs="Tajawal"/>
                <w:sz w:val="24"/>
                <w:szCs w:val="24"/>
                <w:lang w:val="en-YE"/>
              </w:rPr>
            </w:pPr>
            <w:r w:rsidRPr="00A5325C">
              <w:rPr>
                <w:rFonts w:ascii="Tajawal" w:eastAsia="Times New Roman" w:hAnsi="Tajawal" w:cs="Tajawal" w:hint="cs"/>
                <w:sz w:val="24"/>
                <w:szCs w:val="24"/>
                <w:lang w:val="en-YE"/>
              </w:rPr>
              <w:t>~USD</w:t>
            </w:r>
            <w:r w:rsidRPr="00A5325C">
              <w:rPr>
                <w:rFonts w:ascii="Times New Roman" w:eastAsia="Times New Roman" w:hAnsi="Times New Roman" w:cs="Times New Roman"/>
                <w:sz w:val="24"/>
                <w:szCs w:val="24"/>
                <w:lang w:val="en-YE"/>
              </w:rPr>
              <w:t> </w:t>
            </w:r>
            <w:r w:rsidRPr="00A5325C">
              <w:rPr>
                <w:rFonts w:ascii="Tajawal" w:eastAsia="Times New Roman" w:hAnsi="Tajawal" w:cs="Tajawal" w:hint="cs"/>
                <w:sz w:val="24"/>
                <w:szCs w:val="24"/>
                <w:lang w:val="en-YE"/>
              </w:rPr>
              <w:t>6–7</w:t>
            </w:r>
            <w:r w:rsidRPr="00A5325C">
              <w:rPr>
                <w:rFonts w:ascii="Times New Roman" w:eastAsia="Times New Roman" w:hAnsi="Times New Roman" w:cs="Times New Roman"/>
                <w:sz w:val="24"/>
                <w:szCs w:val="24"/>
                <w:lang w:val="en-YE"/>
              </w:rPr>
              <w:t> </w:t>
            </w:r>
            <w:r w:rsidRPr="00A5325C">
              <w:rPr>
                <w:rFonts w:ascii="Tajawal" w:eastAsia="Times New Roman" w:hAnsi="Tajawal" w:cs="Tajawal" w:hint="cs"/>
                <w:sz w:val="24"/>
                <w:szCs w:val="24"/>
                <w:lang w:val="en-YE"/>
              </w:rPr>
              <w:t>billion (2019–20)</w:t>
            </w:r>
          </w:p>
        </w:tc>
        <w:tc>
          <w:tcPr>
            <w:tcW w:w="0" w:type="auto"/>
            <w:hideMark/>
          </w:tcPr>
          <w:p w14:paraId="2C34950F" w14:textId="77777777" w:rsidR="00A5325C" w:rsidRPr="00A5325C" w:rsidRDefault="00A5325C" w:rsidP="00A5325C">
            <w:pPr>
              <w:spacing w:line="240" w:lineRule="auto"/>
              <w:rPr>
                <w:rFonts w:ascii="Tajawal" w:eastAsia="Times New Roman" w:hAnsi="Tajawal" w:cs="Tajawal"/>
                <w:sz w:val="24"/>
                <w:szCs w:val="24"/>
                <w:lang w:val="en-YE"/>
              </w:rPr>
            </w:pPr>
            <w:r w:rsidRPr="00A5325C">
              <w:rPr>
                <w:rFonts w:ascii="Tajawal" w:eastAsia="Times New Roman" w:hAnsi="Tajawal" w:cs="Tajawal" w:hint="cs"/>
                <w:sz w:val="24"/>
                <w:szCs w:val="24"/>
                <w:lang w:val="en-YE"/>
              </w:rPr>
              <w:t>Growing remittance share from Saudi/UAE</w:t>
            </w:r>
          </w:p>
        </w:tc>
        <w:tc>
          <w:tcPr>
            <w:tcW w:w="0" w:type="auto"/>
            <w:hideMark/>
          </w:tcPr>
          <w:p w14:paraId="784719B1" w14:textId="77777777" w:rsidR="00A5325C" w:rsidRPr="00A5325C" w:rsidRDefault="00A5325C" w:rsidP="00A5325C">
            <w:pPr>
              <w:spacing w:line="240" w:lineRule="auto"/>
              <w:rPr>
                <w:rFonts w:ascii="Tajawal" w:eastAsia="Times New Roman" w:hAnsi="Tajawal" w:cs="Tajawal"/>
                <w:sz w:val="24"/>
                <w:szCs w:val="24"/>
                <w:lang w:val="en-YE"/>
              </w:rPr>
            </w:pPr>
            <w:r w:rsidRPr="00A5325C">
              <w:rPr>
                <w:rFonts w:ascii="Tajawal" w:eastAsia="Times New Roman" w:hAnsi="Tajawal" w:cs="Tajawal" w:hint="cs"/>
                <w:sz w:val="24"/>
                <w:szCs w:val="24"/>
                <w:lang w:val="en-YE"/>
              </w:rPr>
              <w:t>~5–6</w:t>
            </w:r>
            <w:r w:rsidRPr="00A5325C">
              <w:rPr>
                <w:rFonts w:ascii="Times New Roman" w:eastAsia="Times New Roman" w:hAnsi="Times New Roman" w:cs="Times New Roman"/>
                <w:sz w:val="24"/>
                <w:szCs w:val="24"/>
                <w:lang w:val="en-YE"/>
              </w:rPr>
              <w:t> </w:t>
            </w:r>
            <w:r w:rsidRPr="00A5325C">
              <w:rPr>
                <w:rFonts w:ascii="Tajawal" w:eastAsia="Times New Roman" w:hAnsi="Tajawal" w:cs="Tajawal" w:hint="cs"/>
                <w:sz w:val="24"/>
                <w:szCs w:val="24"/>
                <w:lang w:val="en-YE"/>
              </w:rPr>
              <w:t>%</w:t>
            </w:r>
          </w:p>
        </w:tc>
      </w:tr>
    </w:tbl>
    <w:p w14:paraId="3D6FC6B7" w14:textId="77777777" w:rsidR="00A5325C" w:rsidRPr="00A5325C" w:rsidRDefault="00E707B4" w:rsidP="00A5325C">
      <w:pPr>
        <w:spacing w:line="240" w:lineRule="auto"/>
        <w:rPr>
          <w:rFonts w:ascii="Tajawal" w:eastAsia="Times New Roman" w:hAnsi="Tajawal" w:cs="Tajawal"/>
          <w:sz w:val="24"/>
          <w:szCs w:val="24"/>
          <w:lang w:val="en-YE"/>
        </w:rPr>
      </w:pPr>
      <w:r>
        <w:rPr>
          <w:noProof/>
        </w:rPr>
      </w:r>
      <w:r>
        <w:pict w14:anchorId="230E0777">
          <v:rect id="Horizontal Line 8" o:spid="_x0000_s1035"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" fillcolor="black" stroked="f">
            <o:lock v:ext="edit" rotation="t" aspectratio="t" verticies="t" text="t" shapetype="t"/>
            <w10:anchorlock/>
          </v:rect>
        </w:pict>
      </w:r>
    </w:p>
    <w:p w14:paraId="04271F7E" w14:textId="77777777" w:rsidR="00A5325C" w:rsidRPr="00A5325C" w:rsidRDefault="00A5325C" w:rsidP="00A5325C">
      <w:pPr>
        <w:spacing w:before="100" w:beforeAutospacing="1" w:after="100" w:afterAutospacing="1" w:line="240" w:lineRule="auto"/>
        <w:outlineLvl w:val="1"/>
        <w:rPr>
          <w:rFonts w:ascii="Tajawal" w:eastAsia="Times New Roman" w:hAnsi="Tajawal" w:cs="Tajawal"/>
          <w:color w:val="000000"/>
          <w:sz w:val="36"/>
          <w:szCs w:val="36"/>
          <w:lang w:val="en-YE"/>
        </w:rPr>
      </w:pPr>
      <w:r w:rsidRPr="00A5325C">
        <w:rPr>
          <w:rFonts w:ascii="Apple Color Emoji" w:eastAsia="Times New Roman" w:hAnsi="Apple Color Emoji" w:cs="Apple Color Emoji"/>
          <w:color w:val="000000"/>
          <w:sz w:val="36"/>
          <w:szCs w:val="36"/>
          <w:lang w:val="en-YE"/>
        </w:rPr>
        <w:t>✅</w:t>
      </w:r>
      <w:r w:rsidRPr="00A5325C">
        <w:rPr>
          <w:rFonts w:ascii="Tajawal" w:eastAsia="Times New Roman" w:hAnsi="Tajawal" w:cs="Tajawal" w:hint="cs"/>
          <w:color w:val="000000"/>
          <w:sz w:val="36"/>
          <w:szCs w:val="36"/>
          <w:lang w:val="en-YE"/>
        </w:rPr>
        <w:t xml:space="preserve"> Implications for SNPL Cross</w:t>
      </w:r>
      <w:r w:rsidRPr="00A5325C">
        <w:rPr>
          <w:rFonts w:ascii="Tajawal" w:eastAsia="Times New Roman" w:hAnsi="Tajawal" w:cs="Tajawal" w:hint="cs"/>
          <w:color w:val="000000"/>
          <w:sz w:val="36"/>
          <w:szCs w:val="36"/>
          <w:lang w:val="en-YE"/>
        </w:rPr>
        <w:noBreakHyphen/>
        <w:t>Border P2P Strategy</w:t>
      </w:r>
    </w:p>
    <w:p w14:paraId="6BEFE369" w14:textId="77777777" w:rsidR="00A5325C" w:rsidRPr="00A5325C" w:rsidRDefault="00A5325C" w:rsidP="00A5325C">
      <w:pPr>
        <w:numPr>
          <w:ilvl w:val="0"/>
          <w:numId w:val="15"/>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 xml:space="preserve">High-volume corridors like GCC </w:t>
      </w:r>
      <w:r w:rsidRPr="00A5325C">
        <w:rPr>
          <w:rFonts w:ascii="Times New Roman" w:eastAsia="Times New Roman" w:hAnsi="Times New Roman" w:cs="Times New Roman"/>
          <w:color w:val="000000"/>
          <w:sz w:val="24"/>
          <w:szCs w:val="24"/>
          <w:lang w:val="en-YE"/>
        </w:rPr>
        <w:t>→</w:t>
      </w:r>
      <w:r w:rsidRPr="00A5325C">
        <w:rPr>
          <w:rFonts w:ascii="Tajawal" w:eastAsia="Times New Roman" w:hAnsi="Tajawal" w:cs="Tajawal" w:hint="cs"/>
          <w:color w:val="000000"/>
          <w:sz w:val="24"/>
          <w:szCs w:val="24"/>
          <w:lang w:val="en-YE"/>
        </w:rPr>
        <w:t xml:space="preserve"> Egypt and GCC </w:t>
      </w:r>
      <w:r w:rsidRPr="00A5325C">
        <w:rPr>
          <w:rFonts w:ascii="Times New Roman" w:eastAsia="Times New Roman" w:hAnsi="Times New Roman" w:cs="Times New Roman"/>
          <w:color w:val="000000"/>
          <w:sz w:val="24"/>
          <w:szCs w:val="24"/>
          <w:lang w:val="en-YE"/>
        </w:rPr>
        <w:t>→</w:t>
      </w:r>
      <w:r w:rsidRPr="00A5325C">
        <w:rPr>
          <w:rFonts w:ascii="Tajawal" w:eastAsia="Times New Roman" w:hAnsi="Tajawal" w:cs="Tajawal" w:hint="cs"/>
          <w:color w:val="000000"/>
          <w:sz w:val="24"/>
          <w:szCs w:val="24"/>
          <w:lang w:val="en-YE"/>
        </w:rPr>
        <w:t xml:space="preserve"> South Asia represent multi</w:t>
      </w:r>
      <w:r w:rsidRPr="00A5325C">
        <w:rPr>
          <w:rFonts w:ascii="Tajawal" w:eastAsia="Times New Roman" w:hAnsi="Tajawal" w:cs="Tajawal" w:hint="cs"/>
          <w:color w:val="000000"/>
          <w:sz w:val="24"/>
          <w:szCs w:val="24"/>
          <w:lang w:val="en-YE"/>
        </w:rPr>
        <w:noBreakHyphen/>
        <w:t>billion</w:t>
      </w:r>
      <w:r w:rsidRPr="00A5325C">
        <w:rPr>
          <w:rFonts w:ascii="Tajawal" w:eastAsia="Times New Roman" w:hAnsi="Tajawal" w:cs="Tajawal" w:hint="cs"/>
          <w:color w:val="000000"/>
          <w:sz w:val="24"/>
          <w:szCs w:val="24"/>
          <w:lang w:val="en-YE"/>
        </w:rPr>
        <w:noBreakHyphen/>
        <w:t>dollar flows, making them prime targets for SNPL-enabled remittance products.</w:t>
      </w:r>
    </w:p>
    <w:p w14:paraId="6CF42DA6" w14:textId="77777777" w:rsidR="00A5325C" w:rsidRPr="00A5325C" w:rsidRDefault="00A5325C" w:rsidP="00A5325C">
      <w:pPr>
        <w:numPr>
          <w:ilvl w:val="0"/>
          <w:numId w:val="15"/>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Cost sensitivity: With average transfer costs near 6% and SDG targeting 3%, SNPL-powered fintech can deliver significant value by reducing fees via digital-first channels.</w:t>
      </w:r>
    </w:p>
    <w:p w14:paraId="6E8838E8" w14:textId="77777777" w:rsidR="00A5325C" w:rsidRPr="00A5325C" w:rsidRDefault="00A5325C" w:rsidP="00A5325C">
      <w:pPr>
        <w:numPr>
          <w:ilvl w:val="0"/>
          <w:numId w:val="15"/>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Rapid growth and rebound potential, especially in markets like Egypt which rebounded sharply in early 2024.</w:t>
      </w:r>
    </w:p>
    <w:p w14:paraId="7AFC0301" w14:textId="77777777" w:rsidR="00A5325C" w:rsidRPr="00A5325C" w:rsidRDefault="00A5325C" w:rsidP="00A5325C">
      <w:pPr>
        <w:numPr>
          <w:ilvl w:val="0"/>
          <w:numId w:val="15"/>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User segments: Lower-income migrant workers benefit from deferred-payment flexibility, while recipients receive funds instantly—aligning with SNPL’s core value.</w:t>
      </w:r>
    </w:p>
    <w:p w14:paraId="796BFA09" w14:textId="77777777" w:rsidR="005A1935" w:rsidRPr="005A1935" w:rsidRDefault="005A1935" w:rsidP="005A1935">
      <w:pPr>
        <w:spacing w:before="100" w:beforeAutospacing="1" w:after="100" w:afterAutospacing="1" w:line="240" w:lineRule="auto"/>
        <w:outlineLvl w:val="1"/>
        <w:rPr>
          <w:rFonts w:ascii="Tajawal" w:eastAsia="Times New Roman" w:hAnsi="Tajawal" w:cs="Tajawal"/>
          <w:color w:val="000000"/>
          <w:sz w:val="36"/>
          <w:szCs w:val="36"/>
          <w:lang w:val="en-YE"/>
        </w:rPr>
      </w:pPr>
      <w:r w:rsidRPr="005A1935">
        <w:rPr>
          <w:rFonts w:ascii="Apple Color Emoji" w:eastAsia="Times New Roman" w:hAnsi="Apple Color Emoji" w:cs="Apple Color Emoji"/>
          <w:color w:val="000000"/>
          <w:sz w:val="36"/>
          <w:szCs w:val="36"/>
          <w:lang w:val="en-YE"/>
        </w:rPr>
        <w:t>📊</w:t>
      </w:r>
      <w:r w:rsidRPr="005A1935">
        <w:rPr>
          <w:rFonts w:ascii="Tajawal" w:eastAsia="Times New Roman" w:hAnsi="Tajawal" w:cs="Tajawal" w:hint="cs"/>
          <w:color w:val="000000"/>
          <w:sz w:val="36"/>
          <w:szCs w:val="36"/>
          <w:lang w:val="en-YE"/>
        </w:rPr>
        <w:t xml:space="preserve"> Remittances: Europe </w:t>
      </w:r>
      <w:r w:rsidRPr="005A1935">
        <w:rPr>
          <w:rFonts w:ascii="Times New Roman" w:eastAsia="Times New Roman" w:hAnsi="Times New Roman" w:cs="Times New Roman"/>
          <w:color w:val="000000"/>
          <w:sz w:val="36"/>
          <w:szCs w:val="36"/>
          <w:lang w:val="en-YE"/>
        </w:rPr>
        <w:t>→</w:t>
      </w:r>
      <w:r w:rsidRPr="005A1935">
        <w:rPr>
          <w:rFonts w:ascii="Tajawal" w:eastAsia="Times New Roman" w:hAnsi="Tajawal" w:cs="Tajawal" w:hint="cs"/>
          <w:color w:val="000000"/>
          <w:sz w:val="36"/>
          <w:szCs w:val="36"/>
          <w:lang w:val="en-YE"/>
        </w:rPr>
        <w:t xml:space="preserve"> Africa Corridor (2023–2024)</w:t>
      </w:r>
    </w:p>
    <w:p w14:paraId="3E641299" w14:textId="77777777" w:rsidR="005A1935" w:rsidRPr="005A1935" w:rsidRDefault="005A1935" w:rsidP="005A1935">
      <w:pPr>
        <w:spacing w:before="100" w:beforeAutospacing="1" w:after="100" w:afterAutospacing="1" w:line="240" w:lineRule="auto"/>
        <w:outlineLvl w:val="2"/>
        <w:rPr>
          <w:rFonts w:ascii="Tajawal" w:eastAsia="Times New Roman" w:hAnsi="Tajawal" w:cs="Tajawal"/>
          <w:color w:val="000000"/>
          <w:sz w:val="27"/>
          <w:szCs w:val="27"/>
          <w:lang w:val="en-YE"/>
        </w:rPr>
      </w:pPr>
      <w:r w:rsidRPr="005A1935">
        <w:rPr>
          <w:rFonts w:ascii="Tajawal" w:eastAsia="Times New Roman" w:hAnsi="Tajawal" w:cs="Tajawal" w:hint="cs"/>
          <w:color w:val="000000"/>
          <w:sz w:val="27"/>
          <w:szCs w:val="27"/>
          <w:lang w:val="en-YE"/>
        </w:rPr>
        <w:t>Regional Overview</w:t>
      </w:r>
    </w:p>
    <w:p w14:paraId="202A3DA4" w14:textId="77777777" w:rsidR="005A1935" w:rsidRPr="005A1935" w:rsidRDefault="005A1935" w:rsidP="005A1935">
      <w:pPr>
        <w:numPr>
          <w:ilvl w:val="0"/>
          <w:numId w:val="16"/>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In 2023, Sub</w:t>
      </w:r>
      <w:r w:rsidRPr="005A1935">
        <w:rPr>
          <w:rFonts w:ascii="Tajawal" w:eastAsia="Times New Roman" w:hAnsi="Tajawal" w:cs="Tajawal" w:hint="cs"/>
          <w:color w:val="000000"/>
          <w:sz w:val="24"/>
          <w:szCs w:val="24"/>
          <w:lang w:val="en-YE"/>
        </w:rPr>
        <w:noBreakHyphen/>
        <w:t>Saharan Africa received approximately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54</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billion in remittances (a decline of ~0.3% from 2022), while total remittance inflows to Africa reached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92.2</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billion, accounting for 5.2% of its GDP</w:t>
      </w:r>
      <w:hyperlink r:id="rId20" w:tgtFrame="_blank" w:history="1">
        <w:r w:rsidRPr="005A1935">
          <w:rPr>
            <w:rFonts w:ascii="Tajawal" w:eastAsia="Times New Roman" w:hAnsi="Tajawal" w:cs="Tajawal" w:hint="cs"/>
            <w:color w:val="0000FF"/>
            <w:sz w:val="24"/>
            <w:szCs w:val="24"/>
            <w:u w:val="single"/>
            <w:lang w:val="en-YE"/>
          </w:rPr>
          <w:t>Remitscope</w:t>
        </w:r>
      </w:hyperlink>
      <w:r w:rsidRPr="005A1935">
        <w:rPr>
          <w:rFonts w:ascii="Tajawal" w:eastAsia="Times New Roman" w:hAnsi="Tajawal" w:cs="Tajawal" w:hint="cs"/>
          <w:color w:val="000000"/>
          <w:sz w:val="24"/>
          <w:szCs w:val="24"/>
          <w:lang w:val="en-YE"/>
        </w:rPr>
        <w:t>.</w:t>
      </w:r>
    </w:p>
    <w:p w14:paraId="0F8B900D" w14:textId="77777777" w:rsidR="005A1935" w:rsidRPr="005A1935" w:rsidRDefault="005A1935" w:rsidP="005A1935">
      <w:pPr>
        <w:numPr>
          <w:ilvl w:val="0"/>
          <w:numId w:val="16"/>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Contributors include migrants based in Europe, the Middle East, and North America, though Europe continues to be a major sending region due to substantial diasporas.</w:t>
      </w:r>
    </w:p>
    <w:p w14:paraId="78220388" w14:textId="77777777" w:rsidR="005A1935" w:rsidRPr="005A1935" w:rsidRDefault="005A1935" w:rsidP="005A1935">
      <w:pPr>
        <w:spacing w:before="100" w:beforeAutospacing="1" w:after="100" w:afterAutospacing="1" w:line="240" w:lineRule="auto"/>
        <w:outlineLvl w:val="2"/>
        <w:rPr>
          <w:rFonts w:ascii="Tajawal" w:eastAsia="Times New Roman" w:hAnsi="Tajawal" w:cs="Tajawal"/>
          <w:color w:val="000000"/>
          <w:sz w:val="27"/>
          <w:szCs w:val="27"/>
          <w:lang w:val="en-YE"/>
        </w:rPr>
      </w:pPr>
      <w:r w:rsidRPr="005A1935">
        <w:rPr>
          <w:rFonts w:ascii="Tajawal" w:eastAsia="Times New Roman" w:hAnsi="Tajawal" w:cs="Tajawal" w:hint="cs"/>
          <w:color w:val="000000"/>
          <w:sz w:val="27"/>
          <w:szCs w:val="27"/>
          <w:lang w:val="en-YE"/>
        </w:rPr>
        <w:t>Europe</w:t>
      </w:r>
      <w:r w:rsidRPr="005A1935">
        <w:rPr>
          <w:rFonts w:ascii="Tajawal" w:eastAsia="Times New Roman" w:hAnsi="Tajawal" w:cs="Tajawal" w:hint="cs"/>
          <w:color w:val="000000"/>
          <w:sz w:val="27"/>
          <w:szCs w:val="27"/>
          <w:lang w:val="en-YE"/>
        </w:rPr>
        <w:noBreakHyphen/>
        <w:t>to</w:t>
      </w:r>
      <w:r w:rsidRPr="005A1935">
        <w:rPr>
          <w:rFonts w:ascii="Tajawal" w:eastAsia="Times New Roman" w:hAnsi="Tajawal" w:cs="Tajawal" w:hint="cs"/>
          <w:color w:val="000000"/>
          <w:sz w:val="27"/>
          <w:szCs w:val="27"/>
          <w:lang w:val="en-YE"/>
        </w:rPr>
        <w:noBreakHyphen/>
        <w:t>Africa Trends</w:t>
      </w:r>
    </w:p>
    <w:p w14:paraId="4BEE7D2E" w14:textId="77777777" w:rsidR="005A1935" w:rsidRPr="005A1935" w:rsidRDefault="005A1935" w:rsidP="005A1935">
      <w:pPr>
        <w:numPr>
          <w:ilvl w:val="0"/>
          <w:numId w:val="17"/>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Official data specific to Europe</w:t>
      </w:r>
      <w:r w:rsidRPr="005A1935">
        <w:rPr>
          <w:rFonts w:ascii="Times New Roman" w:eastAsia="Times New Roman" w:hAnsi="Times New Roman" w:cs="Times New Roman"/>
          <w:color w:val="000000"/>
          <w:sz w:val="24"/>
          <w:szCs w:val="24"/>
          <w:lang w:val="en-YE"/>
        </w:rPr>
        <w:t>→</w:t>
      </w:r>
      <w:r w:rsidRPr="005A1935">
        <w:rPr>
          <w:rFonts w:ascii="Tajawal" w:eastAsia="Times New Roman" w:hAnsi="Tajawal" w:cs="Tajawal" w:hint="cs"/>
          <w:color w:val="000000"/>
          <w:sz w:val="24"/>
          <w:szCs w:val="24"/>
          <w:lang w:val="en-YE"/>
        </w:rPr>
        <w:t>Africa corridors remain limited, but country-level flows provide estimates:</w:t>
      </w:r>
    </w:p>
    <w:p w14:paraId="17452275" w14:textId="77777777" w:rsidR="005A1935" w:rsidRPr="005A1935" w:rsidRDefault="005A1935" w:rsidP="005A1935">
      <w:pPr>
        <w:numPr>
          <w:ilvl w:val="1"/>
          <w:numId w:val="17"/>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In 2023, migrants in the United Kingdom sent an estimated £9.3</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billion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11–12</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 xml:space="preserve">billion) in remittances, primarily to Nigeria, India, and Pakistan, but </w:t>
      </w:r>
      <w:r w:rsidRPr="005A1935">
        <w:rPr>
          <w:rFonts w:ascii="Tajawal" w:eastAsia="Times New Roman" w:hAnsi="Tajawal" w:cs="Tajawal" w:hint="cs"/>
          <w:color w:val="000000"/>
          <w:sz w:val="24"/>
          <w:szCs w:val="24"/>
          <w:lang w:val="en-YE"/>
        </w:rPr>
        <w:lastRenderedPageBreak/>
        <w:t>also significant amounts to African nations with UK-based diasporas </w:t>
      </w:r>
      <w:hyperlink r:id="rId21" w:tgtFrame="_blank" w:history="1">
        <w:r w:rsidRPr="005A1935">
          <w:rPr>
            <w:rFonts w:ascii="Tajawal" w:eastAsia="Times New Roman" w:hAnsi="Tajawal" w:cs="Tajawal" w:hint="cs"/>
            <w:color w:val="0000FF"/>
            <w:sz w:val="24"/>
            <w:szCs w:val="24"/>
            <w:u w:val="single"/>
            <w:lang w:val="en-YE"/>
          </w:rPr>
          <w:t>Migration Observatory</w:t>
        </w:r>
      </w:hyperlink>
      <w:r w:rsidRPr="005A1935">
        <w:rPr>
          <w:rFonts w:ascii="Tajawal" w:eastAsia="Times New Roman" w:hAnsi="Tajawal" w:cs="Tajawal" w:hint="cs"/>
          <w:color w:val="000000"/>
          <w:sz w:val="24"/>
          <w:szCs w:val="24"/>
          <w:lang w:val="en-YE"/>
        </w:rPr>
        <w:t>.</w:t>
      </w:r>
    </w:p>
    <w:p w14:paraId="5247A6B0" w14:textId="77777777" w:rsidR="005A1935" w:rsidRPr="005A1935" w:rsidRDefault="005A1935" w:rsidP="005A1935">
      <w:pPr>
        <w:numPr>
          <w:ilvl w:val="1"/>
          <w:numId w:val="17"/>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France, as another major European remittance hub, reportedly transferred nearly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9</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billion to African countries in 2021, mostly North and West Africa </w:t>
      </w:r>
      <w:hyperlink r:id="rId22" w:tgtFrame="_blank" w:history="1">
        <w:r w:rsidRPr="005A1935">
          <w:rPr>
            <w:rFonts w:ascii="Tajawal" w:eastAsia="Times New Roman" w:hAnsi="Tajawal" w:cs="Tajawal" w:hint="cs"/>
            <w:color w:val="0000FF"/>
            <w:sz w:val="24"/>
            <w:szCs w:val="24"/>
            <w:u w:val="single"/>
            <w:lang w:val="en-YE"/>
          </w:rPr>
          <w:t>International Monetary Fund+15Wikipedia+15Wise+15</w:t>
        </w:r>
      </w:hyperlink>
      <w:r w:rsidRPr="005A1935">
        <w:rPr>
          <w:rFonts w:ascii="Tajawal" w:eastAsia="Times New Roman" w:hAnsi="Tajawal" w:cs="Tajawal" w:hint="cs"/>
          <w:color w:val="000000"/>
          <w:sz w:val="24"/>
          <w:szCs w:val="24"/>
          <w:lang w:val="en-YE"/>
        </w:rPr>
        <w:t>.</w:t>
      </w:r>
    </w:p>
    <w:p w14:paraId="710E66E5" w14:textId="77777777" w:rsidR="005A1935" w:rsidRPr="005A1935" w:rsidRDefault="005A1935" w:rsidP="005A1935">
      <w:pPr>
        <w:spacing w:before="100" w:beforeAutospacing="1" w:after="100" w:afterAutospacing="1" w:line="240" w:lineRule="auto"/>
        <w:ind w:left="1440"/>
        <w:rPr>
          <w:rFonts w:ascii="Tajawal" w:eastAsia="Times New Roman" w:hAnsi="Tajawal" w:cs="Tajawal"/>
          <w:color w:val="000000"/>
          <w:sz w:val="24"/>
          <w:szCs w:val="24"/>
          <w:lang w:val="en-YE"/>
        </w:rPr>
      </w:pPr>
    </w:p>
    <w:p w14:paraId="21D29305" w14:textId="77777777" w:rsidR="005A1935" w:rsidRPr="005A1935" w:rsidRDefault="005A1935" w:rsidP="005A1935">
      <w:pPr>
        <w:spacing w:before="100" w:beforeAutospacing="1" w:after="100" w:afterAutospacing="1" w:line="240" w:lineRule="auto"/>
        <w:outlineLvl w:val="2"/>
        <w:rPr>
          <w:rFonts w:ascii="Tajawal" w:eastAsia="Times New Roman" w:hAnsi="Tajawal" w:cs="Tajawal"/>
          <w:color w:val="000000"/>
          <w:sz w:val="27"/>
          <w:szCs w:val="27"/>
          <w:lang w:val="en-YE"/>
        </w:rPr>
      </w:pPr>
      <w:r w:rsidRPr="005A1935">
        <w:rPr>
          <w:rFonts w:ascii="Tajawal" w:eastAsia="Times New Roman" w:hAnsi="Tajawal" w:cs="Tajawal" w:hint="cs"/>
          <w:color w:val="000000"/>
          <w:sz w:val="27"/>
          <w:szCs w:val="27"/>
          <w:lang w:val="en-YE"/>
        </w:rPr>
        <w:t>Cost of Sending</w:t>
      </w:r>
    </w:p>
    <w:p w14:paraId="265EDB91" w14:textId="77777777" w:rsidR="005A1935" w:rsidRPr="005A1935" w:rsidRDefault="005A1935" w:rsidP="005A1935">
      <w:pPr>
        <w:numPr>
          <w:ilvl w:val="0"/>
          <w:numId w:val="18"/>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The average global cost of sending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200 to Sub</w:t>
      </w:r>
      <w:r w:rsidRPr="005A1935">
        <w:rPr>
          <w:rFonts w:ascii="Tajawal" w:eastAsia="Times New Roman" w:hAnsi="Tajawal" w:cs="Tajawal" w:hint="cs"/>
          <w:color w:val="000000"/>
          <w:sz w:val="24"/>
          <w:szCs w:val="24"/>
          <w:lang w:val="en-YE"/>
        </w:rPr>
        <w:noBreakHyphen/>
        <w:t>Saharan Africa was 7.9% in Q2 2023, significantly higher than the global average of ~6% </w:t>
      </w:r>
      <w:hyperlink r:id="rId23" w:tgtFrame="_blank" w:history="1">
        <w:r w:rsidRPr="005A1935">
          <w:rPr>
            <w:rFonts w:ascii="Tajawal" w:eastAsia="Times New Roman" w:hAnsi="Tajawal" w:cs="Tajawal" w:hint="cs"/>
            <w:color w:val="0000FF"/>
            <w:sz w:val="24"/>
            <w:szCs w:val="24"/>
            <w:u w:val="single"/>
            <w:lang w:val="en-YE"/>
          </w:rPr>
          <w:t>Remitscope+4World Bank+4United Nations+4</w:t>
        </w:r>
      </w:hyperlink>
      <w:r w:rsidRPr="005A1935">
        <w:rPr>
          <w:rFonts w:ascii="Tajawal" w:eastAsia="Times New Roman" w:hAnsi="Tajawal" w:cs="Tajawal" w:hint="cs"/>
          <w:color w:val="000000"/>
          <w:sz w:val="24"/>
          <w:szCs w:val="24"/>
          <w:lang w:val="en-YE"/>
        </w:rPr>
        <w:t>.</w:t>
      </w:r>
    </w:p>
    <w:p w14:paraId="201A1EB9" w14:textId="77777777" w:rsidR="005A1935" w:rsidRPr="005A1935" w:rsidRDefault="005A1935" w:rsidP="005A1935">
      <w:pPr>
        <w:numPr>
          <w:ilvl w:val="0"/>
          <w:numId w:val="18"/>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The Europe</w:t>
      </w:r>
      <w:r w:rsidRPr="005A1935">
        <w:rPr>
          <w:rFonts w:ascii="Times New Roman" w:eastAsia="Times New Roman" w:hAnsi="Times New Roman" w:cs="Times New Roman"/>
          <w:color w:val="000000"/>
          <w:sz w:val="24"/>
          <w:szCs w:val="24"/>
          <w:lang w:val="en-YE"/>
        </w:rPr>
        <w:t>→</w:t>
      </w:r>
      <w:r w:rsidRPr="005A1935">
        <w:rPr>
          <w:rFonts w:ascii="Tajawal" w:eastAsia="Times New Roman" w:hAnsi="Tajawal" w:cs="Tajawal" w:hint="cs"/>
          <w:color w:val="000000"/>
          <w:sz w:val="24"/>
          <w:szCs w:val="24"/>
          <w:lang w:val="en-YE"/>
        </w:rPr>
        <w:t>Africa corridor is among the most expensive globally, due to limited competition and reliance on legacy operators (e.g. Western Union, MoneyGram) </w:t>
      </w:r>
      <w:hyperlink r:id="rId24" w:tgtFrame="_blank" w:history="1">
        <w:r w:rsidRPr="005A1935">
          <w:rPr>
            <w:rFonts w:ascii="Tajawal" w:eastAsia="Times New Roman" w:hAnsi="Tajawal" w:cs="Tajawal" w:hint="cs"/>
            <w:color w:val="0000FF"/>
            <w:sz w:val="24"/>
            <w:szCs w:val="24"/>
            <w:u w:val="single"/>
            <w:lang w:val="en-YE"/>
          </w:rPr>
          <w:t>Wikipedia</w:t>
        </w:r>
      </w:hyperlink>
      <w:hyperlink r:id="rId25" w:tgtFrame="_blank" w:history="1">
        <w:r w:rsidRPr="005A1935">
          <w:rPr>
            <w:rFonts w:ascii="Tajawal" w:eastAsia="Times New Roman" w:hAnsi="Tajawal" w:cs="Tajawal" w:hint="cs"/>
            <w:color w:val="0000FF"/>
            <w:sz w:val="24"/>
            <w:szCs w:val="24"/>
            <w:u w:val="single"/>
            <w:lang w:val="en-YE"/>
          </w:rPr>
          <w:t>United Nations</w:t>
        </w:r>
      </w:hyperlink>
      <w:r w:rsidRPr="005A1935">
        <w:rPr>
          <w:rFonts w:ascii="Tajawal" w:eastAsia="Times New Roman" w:hAnsi="Tajawal" w:cs="Tajawal" w:hint="cs"/>
          <w:color w:val="000000"/>
          <w:sz w:val="24"/>
          <w:szCs w:val="24"/>
          <w:lang w:val="en-YE"/>
        </w:rPr>
        <w:t>.</w:t>
      </w:r>
    </w:p>
    <w:p w14:paraId="251958E7" w14:textId="77777777" w:rsidR="005A1935" w:rsidRPr="005A1935" w:rsidRDefault="00E707B4" w:rsidP="005A1935">
      <w:pPr>
        <w:spacing w:line="240" w:lineRule="auto"/>
        <w:rPr>
          <w:rFonts w:ascii="Tajawal" w:eastAsia="Times New Roman" w:hAnsi="Tajawal" w:cs="Tajawal"/>
          <w:sz w:val="24"/>
          <w:szCs w:val="24"/>
          <w:lang w:val="en-YE"/>
        </w:rPr>
      </w:pPr>
      <w:r>
        <w:rPr>
          <w:noProof/>
        </w:rPr>
      </w:r>
      <w:r>
        <w:pict w14:anchorId="63ABBF88">
          <v:rect id="Horizontal Line 9" o:spid="_x0000_s1034"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" fillcolor="black" stroked="f">
            <o:lock v:ext="edit" rotation="t" aspectratio="t" verticies="t" text="t" shapetype="t"/>
            <w10:anchorlock/>
          </v:rect>
        </w:pict>
      </w:r>
    </w:p>
    <w:p w14:paraId="58746A83" w14:textId="77777777" w:rsidR="005A1935" w:rsidRPr="005A1935" w:rsidRDefault="005A1935" w:rsidP="005A1935">
      <w:pPr>
        <w:spacing w:before="100" w:beforeAutospacing="1" w:after="100" w:afterAutospacing="1" w:line="240" w:lineRule="auto"/>
        <w:outlineLvl w:val="1"/>
        <w:rPr>
          <w:rFonts w:ascii="Tajawal" w:eastAsia="Times New Roman" w:hAnsi="Tajawal" w:cs="Tajawal"/>
          <w:color w:val="000000"/>
          <w:sz w:val="36"/>
          <w:szCs w:val="36"/>
          <w:lang w:val="en-YE"/>
        </w:rPr>
      </w:pPr>
      <w:r w:rsidRPr="005A1935">
        <w:rPr>
          <w:rFonts w:ascii="Apple Color Emoji" w:eastAsia="Times New Roman" w:hAnsi="Apple Color Emoji" w:cs="Apple Color Emoji"/>
          <w:color w:val="000000"/>
          <w:sz w:val="36"/>
          <w:szCs w:val="36"/>
          <w:lang w:val="en-YE"/>
        </w:rPr>
        <w:t>🔍</w:t>
      </w:r>
      <w:r w:rsidRPr="005A1935">
        <w:rPr>
          <w:rFonts w:ascii="Tajawal" w:eastAsia="Times New Roman" w:hAnsi="Tajawal" w:cs="Tajawal" w:hint="cs"/>
          <w:color w:val="000000"/>
          <w:sz w:val="36"/>
          <w:szCs w:val="36"/>
          <w:lang w:val="en-YE"/>
        </w:rPr>
        <w:t xml:space="preserve"> Highlights for Europe </w:t>
      </w:r>
      <w:r w:rsidRPr="005A1935">
        <w:rPr>
          <w:rFonts w:ascii="Times New Roman" w:eastAsia="Times New Roman" w:hAnsi="Times New Roman" w:cs="Times New Roman"/>
          <w:color w:val="000000"/>
          <w:sz w:val="36"/>
          <w:szCs w:val="36"/>
          <w:lang w:val="en-YE"/>
        </w:rPr>
        <w:t>→</w:t>
      </w:r>
      <w:r w:rsidRPr="005A1935">
        <w:rPr>
          <w:rFonts w:ascii="Tajawal" w:eastAsia="Times New Roman" w:hAnsi="Tajawal" w:cs="Tajawal" w:hint="cs"/>
          <w:color w:val="000000"/>
          <w:sz w:val="36"/>
          <w:szCs w:val="36"/>
          <w:lang w:val="en-YE"/>
        </w:rPr>
        <w:t xml:space="preserve"> Africa Corridor</w:t>
      </w:r>
    </w:p>
    <w:tbl>
      <w:tblPr>
        <w:tblStyle w:val="TableGrid"/>
        <w:tblW w:w="0" w:type="auto"/>
        <w:tblLook w:val="04A0" w:firstRow="1" w:lastRow="0" w:firstColumn="1" w:lastColumn="0" w:noHBand="0" w:noVBand="1"/>
      </w:tblPr>
      <w:tblGrid>
        <w:gridCol w:w="1988"/>
        <w:gridCol w:w="2669"/>
        <w:gridCol w:w="2213"/>
        <w:gridCol w:w="2480"/>
      </w:tblGrid>
      <w:tr w:rsidR="00E77252" w:rsidRPr="005A1935" w14:paraId="2F1F9828" w14:textId="77777777" w:rsidTr="00E77252">
        <w:tc>
          <w:tcPr>
            <w:tcW w:w="0" w:type="auto"/>
            <w:hideMark/>
          </w:tcPr>
          <w:p w14:paraId="05270035" w14:textId="77777777" w:rsidR="005A1935" w:rsidRPr="005A1935" w:rsidRDefault="005A1935" w:rsidP="005A1935">
            <w:pPr>
              <w:spacing w:line="240" w:lineRule="auto"/>
              <w:jc w:val="center"/>
              <w:rPr>
                <w:rFonts w:ascii="Tajawal" w:eastAsia="Times New Roman" w:hAnsi="Tajawal" w:cs="Tajawal"/>
                <w:b/>
                <w:bCs/>
                <w:sz w:val="24"/>
                <w:szCs w:val="24"/>
                <w:lang w:val="en-YE"/>
              </w:rPr>
            </w:pPr>
            <w:r w:rsidRPr="005A1935">
              <w:rPr>
                <w:rFonts w:ascii="Tajawal" w:eastAsia="Times New Roman" w:hAnsi="Tajawal" w:cs="Tajawal" w:hint="cs"/>
                <w:b/>
                <w:bCs/>
                <w:sz w:val="24"/>
                <w:szCs w:val="24"/>
                <w:lang w:val="en-YE"/>
              </w:rPr>
              <w:t>Corridor</w:t>
            </w:r>
          </w:p>
        </w:tc>
        <w:tc>
          <w:tcPr>
            <w:tcW w:w="0" w:type="auto"/>
            <w:hideMark/>
          </w:tcPr>
          <w:p w14:paraId="443F91D9" w14:textId="77777777" w:rsidR="005A1935" w:rsidRPr="005A1935" w:rsidRDefault="005A1935" w:rsidP="005A1935">
            <w:pPr>
              <w:spacing w:line="240" w:lineRule="auto"/>
              <w:jc w:val="center"/>
              <w:rPr>
                <w:rFonts w:ascii="Tajawal" w:eastAsia="Times New Roman" w:hAnsi="Tajawal" w:cs="Tajawal"/>
                <w:b/>
                <w:bCs/>
                <w:sz w:val="24"/>
                <w:szCs w:val="24"/>
                <w:lang w:val="en-YE"/>
              </w:rPr>
            </w:pPr>
            <w:r w:rsidRPr="005A1935">
              <w:rPr>
                <w:rFonts w:ascii="Tajawal" w:eastAsia="Times New Roman" w:hAnsi="Tajawal" w:cs="Tajawal" w:hint="cs"/>
                <w:b/>
                <w:bCs/>
                <w:sz w:val="24"/>
                <w:szCs w:val="24"/>
                <w:lang w:val="en-YE"/>
              </w:rPr>
              <w:t>Estimated Annual Outflows (Europen roots)</w:t>
            </w:r>
          </w:p>
        </w:tc>
        <w:tc>
          <w:tcPr>
            <w:tcW w:w="0" w:type="auto"/>
            <w:hideMark/>
          </w:tcPr>
          <w:p w14:paraId="55CB0C32" w14:textId="77777777" w:rsidR="005A1935" w:rsidRPr="005A1935" w:rsidRDefault="005A1935" w:rsidP="005A1935">
            <w:pPr>
              <w:spacing w:line="240" w:lineRule="auto"/>
              <w:jc w:val="center"/>
              <w:rPr>
                <w:rFonts w:ascii="Tajawal" w:eastAsia="Times New Roman" w:hAnsi="Tajawal" w:cs="Tajawal"/>
                <w:b/>
                <w:bCs/>
                <w:sz w:val="24"/>
                <w:szCs w:val="24"/>
                <w:lang w:val="en-YE"/>
              </w:rPr>
            </w:pPr>
            <w:r w:rsidRPr="005A1935">
              <w:rPr>
                <w:rFonts w:ascii="Tajawal" w:eastAsia="Times New Roman" w:hAnsi="Tajawal" w:cs="Tajawal" w:hint="cs"/>
                <w:b/>
                <w:bCs/>
                <w:sz w:val="24"/>
                <w:szCs w:val="24"/>
                <w:lang w:val="en-YE"/>
              </w:rPr>
              <w:t>Growth</w:t>
            </w:r>
            <w:r w:rsidRPr="005A1935">
              <w:rPr>
                <w:rFonts w:ascii="Times New Roman" w:eastAsia="Times New Roman" w:hAnsi="Times New Roman" w:cs="Times New Roman"/>
                <w:b/>
                <w:bCs/>
                <w:sz w:val="24"/>
                <w:szCs w:val="24"/>
                <w:lang w:val="en-YE"/>
              </w:rPr>
              <w:t> </w:t>
            </w:r>
            <w:r w:rsidRPr="005A1935">
              <w:rPr>
                <w:rFonts w:ascii="Tajawal" w:eastAsia="Times New Roman" w:hAnsi="Tajawal" w:cs="Tajawal" w:hint="cs"/>
                <w:b/>
                <w:bCs/>
                <w:sz w:val="24"/>
                <w:szCs w:val="24"/>
                <w:lang w:val="en-YE"/>
              </w:rPr>
              <w:t>Trend</w:t>
            </w:r>
          </w:p>
        </w:tc>
        <w:tc>
          <w:tcPr>
            <w:tcW w:w="0" w:type="auto"/>
            <w:hideMark/>
          </w:tcPr>
          <w:p w14:paraId="699FB640" w14:textId="77777777" w:rsidR="005A1935" w:rsidRPr="005A1935" w:rsidRDefault="005A1935" w:rsidP="005A1935">
            <w:pPr>
              <w:spacing w:line="240" w:lineRule="auto"/>
              <w:jc w:val="center"/>
              <w:rPr>
                <w:rFonts w:ascii="Tajawal" w:eastAsia="Times New Roman" w:hAnsi="Tajawal" w:cs="Tajawal"/>
                <w:b/>
                <w:bCs/>
                <w:sz w:val="24"/>
                <w:szCs w:val="24"/>
                <w:lang w:val="en-YE"/>
              </w:rPr>
            </w:pPr>
            <w:r w:rsidRPr="005A1935">
              <w:rPr>
                <w:rFonts w:ascii="Tajawal" w:eastAsia="Times New Roman" w:hAnsi="Tajawal" w:cs="Tajawal" w:hint="cs"/>
                <w:b/>
                <w:bCs/>
                <w:sz w:val="24"/>
                <w:szCs w:val="24"/>
                <w:lang w:val="en-YE"/>
              </w:rPr>
              <w:t>Cost of Sending (USD</w:t>
            </w:r>
            <w:r w:rsidRPr="005A1935">
              <w:rPr>
                <w:rFonts w:ascii="Times New Roman" w:eastAsia="Times New Roman" w:hAnsi="Times New Roman" w:cs="Times New Roman"/>
                <w:b/>
                <w:bCs/>
                <w:sz w:val="24"/>
                <w:szCs w:val="24"/>
                <w:lang w:val="en-YE"/>
              </w:rPr>
              <w:t> </w:t>
            </w:r>
            <w:r w:rsidRPr="005A1935">
              <w:rPr>
                <w:rFonts w:ascii="Tajawal" w:eastAsia="Times New Roman" w:hAnsi="Tajawal" w:cs="Tajawal" w:hint="cs"/>
                <w:b/>
                <w:bCs/>
                <w:sz w:val="24"/>
                <w:szCs w:val="24"/>
                <w:lang w:val="en-YE"/>
              </w:rPr>
              <w:t>200)</w:t>
            </w:r>
          </w:p>
        </w:tc>
      </w:tr>
      <w:tr w:rsidR="00E77252" w:rsidRPr="005A1935" w14:paraId="7BA2D0EB" w14:textId="77777777" w:rsidTr="00E77252">
        <w:tc>
          <w:tcPr>
            <w:tcW w:w="0" w:type="auto"/>
            <w:hideMark/>
          </w:tcPr>
          <w:p w14:paraId="6A1D0760"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 xml:space="preserve">UK </w:t>
            </w:r>
            <w:r w:rsidRPr="005A1935">
              <w:rPr>
                <w:rFonts w:ascii="Times New Roman" w:eastAsia="Times New Roman" w:hAnsi="Times New Roman" w:cs="Times New Roman"/>
                <w:sz w:val="24"/>
                <w:szCs w:val="24"/>
                <w:lang w:val="en-YE"/>
              </w:rPr>
              <w:t>→</w:t>
            </w:r>
            <w:r w:rsidRPr="005A1935">
              <w:rPr>
                <w:rFonts w:ascii="Tajawal" w:eastAsia="Times New Roman" w:hAnsi="Tajawal" w:cs="Tajawal" w:hint="cs"/>
                <w:sz w:val="24"/>
                <w:szCs w:val="24"/>
                <w:lang w:val="en-YE"/>
              </w:rPr>
              <w:t xml:space="preserve"> Nigeria &amp; Africa</w:t>
            </w:r>
          </w:p>
        </w:tc>
        <w:tc>
          <w:tcPr>
            <w:tcW w:w="0" w:type="auto"/>
            <w:hideMark/>
          </w:tcPr>
          <w:p w14:paraId="76B0EDB3"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~£9.3</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billion (~USD</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11–12</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billion)</w:t>
            </w:r>
          </w:p>
        </w:tc>
        <w:tc>
          <w:tcPr>
            <w:tcW w:w="0" w:type="auto"/>
            <w:hideMark/>
          </w:tcPr>
          <w:p w14:paraId="7C9BE795"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Stable / rising post</w:t>
            </w:r>
            <w:r w:rsidRPr="005A1935">
              <w:rPr>
                <w:rFonts w:ascii="Tajawal" w:eastAsia="Times New Roman" w:hAnsi="Tajawal" w:cs="Tajawal" w:hint="cs"/>
                <w:sz w:val="24"/>
                <w:szCs w:val="24"/>
                <w:lang w:val="en-YE"/>
              </w:rPr>
              <w:noBreakHyphen/>
              <w:t>pandemic</w:t>
            </w:r>
          </w:p>
        </w:tc>
        <w:tc>
          <w:tcPr>
            <w:tcW w:w="0" w:type="auto"/>
            <w:hideMark/>
          </w:tcPr>
          <w:p w14:paraId="04102D34"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~7.9</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 average across Sub</w:t>
            </w:r>
            <w:r w:rsidRPr="005A1935">
              <w:rPr>
                <w:rFonts w:ascii="Tajawal" w:eastAsia="Times New Roman" w:hAnsi="Tajawal" w:cs="Tajawal" w:hint="cs"/>
                <w:sz w:val="24"/>
                <w:szCs w:val="24"/>
                <w:lang w:val="en-YE"/>
              </w:rPr>
              <w:noBreakHyphen/>
              <w:t>Saharan Africa</w:t>
            </w:r>
          </w:p>
        </w:tc>
      </w:tr>
      <w:tr w:rsidR="00E77252" w:rsidRPr="005A1935" w14:paraId="56CFE513" w14:textId="77777777" w:rsidTr="00E77252">
        <w:tc>
          <w:tcPr>
            <w:tcW w:w="0" w:type="auto"/>
            <w:hideMark/>
          </w:tcPr>
          <w:p w14:paraId="3035CDF2"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 xml:space="preserve">France </w:t>
            </w:r>
            <w:r w:rsidRPr="005A1935">
              <w:rPr>
                <w:rFonts w:ascii="Times New Roman" w:eastAsia="Times New Roman" w:hAnsi="Times New Roman" w:cs="Times New Roman"/>
                <w:sz w:val="24"/>
                <w:szCs w:val="24"/>
                <w:lang w:val="en-YE"/>
              </w:rPr>
              <w:t>→</w:t>
            </w:r>
            <w:r w:rsidRPr="005A1935">
              <w:rPr>
                <w:rFonts w:ascii="Tajawal" w:eastAsia="Times New Roman" w:hAnsi="Tajawal" w:cs="Tajawal" w:hint="cs"/>
                <w:sz w:val="24"/>
                <w:szCs w:val="24"/>
                <w:lang w:val="en-YE"/>
              </w:rPr>
              <w:t xml:space="preserve"> North/West Africa</w:t>
            </w:r>
          </w:p>
        </w:tc>
        <w:tc>
          <w:tcPr>
            <w:tcW w:w="0" w:type="auto"/>
            <w:hideMark/>
          </w:tcPr>
          <w:p w14:paraId="1B2A7916"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~USD</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9</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billion (2021 estimate)</w:t>
            </w:r>
          </w:p>
        </w:tc>
        <w:tc>
          <w:tcPr>
            <w:tcW w:w="0" w:type="auto"/>
            <w:hideMark/>
          </w:tcPr>
          <w:p w14:paraId="4773EEFF"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Steady</w:t>
            </w:r>
          </w:p>
        </w:tc>
        <w:tc>
          <w:tcPr>
            <w:tcW w:w="0" w:type="auto"/>
            <w:hideMark/>
          </w:tcPr>
          <w:p w14:paraId="45A49AB5"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Likely ~7</w:t>
            </w:r>
            <w:r w:rsidRPr="005A1935">
              <w:rPr>
                <w:rFonts w:ascii="Tajawal" w:eastAsia="Times New Roman" w:hAnsi="Tajawal" w:cs="Tajawal" w:hint="cs"/>
                <w:sz w:val="24"/>
                <w:szCs w:val="24"/>
                <w:lang w:val="en-YE"/>
              </w:rPr>
              <w:noBreakHyphen/>
              <w:t>8</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w:t>
            </w:r>
          </w:p>
        </w:tc>
      </w:tr>
    </w:tbl>
    <w:p w14:paraId="27A453EE" w14:textId="77777777" w:rsidR="005A1935" w:rsidRPr="005A1935" w:rsidRDefault="00E707B4" w:rsidP="005A1935">
      <w:pPr>
        <w:spacing w:line="240" w:lineRule="auto"/>
        <w:rPr>
          <w:rFonts w:ascii="Tajawal" w:eastAsia="Times New Roman" w:hAnsi="Tajawal" w:cs="Tajawal"/>
          <w:sz w:val="24"/>
          <w:szCs w:val="24"/>
          <w:lang w:val="en-YE"/>
        </w:rPr>
      </w:pPr>
      <w:r>
        <w:rPr>
          <w:noProof/>
        </w:rPr>
      </w:r>
      <w:r>
        <w:pict w14:anchorId="38680320">
          <v:rect id="Horizontal Line 10" o:spid="_x0000_s1033"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" fillcolor="black" stroked="f">
            <o:lock v:ext="edit" rotation="t" aspectratio="t" verticies="t" text="t" shapetype="t"/>
            <w10:anchorlock/>
          </v:rect>
        </w:pict>
      </w:r>
    </w:p>
    <w:p w14:paraId="6634A827" w14:textId="77777777" w:rsidR="005A1935" w:rsidRPr="005A1935" w:rsidRDefault="005A1935" w:rsidP="005A1935">
      <w:pPr>
        <w:spacing w:before="100" w:beforeAutospacing="1" w:after="100" w:afterAutospacing="1" w:line="240" w:lineRule="auto"/>
        <w:outlineLvl w:val="1"/>
        <w:rPr>
          <w:rFonts w:ascii="Tajawal" w:eastAsia="Times New Roman" w:hAnsi="Tajawal" w:cs="Tajawal"/>
          <w:color w:val="000000"/>
          <w:sz w:val="36"/>
          <w:szCs w:val="36"/>
          <w:lang w:val="en-YE"/>
        </w:rPr>
      </w:pPr>
      <w:r w:rsidRPr="005A1935">
        <w:rPr>
          <w:rFonts w:ascii="Apple Color Emoji" w:eastAsia="Times New Roman" w:hAnsi="Apple Color Emoji" w:cs="Apple Color Emoji"/>
          <w:color w:val="000000"/>
          <w:sz w:val="36"/>
          <w:szCs w:val="36"/>
          <w:lang w:val="en-YE"/>
        </w:rPr>
        <w:t>✅</w:t>
      </w:r>
      <w:r w:rsidRPr="005A1935">
        <w:rPr>
          <w:rFonts w:ascii="Tajawal" w:eastAsia="Times New Roman" w:hAnsi="Tajawal" w:cs="Tajawal" w:hint="cs"/>
          <w:color w:val="000000"/>
          <w:sz w:val="36"/>
          <w:szCs w:val="36"/>
          <w:lang w:val="en-YE"/>
        </w:rPr>
        <w:t xml:space="preserve"> Implications for SNPL Strategy in Europe </w:t>
      </w:r>
      <w:r w:rsidRPr="005A1935">
        <w:rPr>
          <w:rFonts w:ascii="Times New Roman" w:eastAsia="Times New Roman" w:hAnsi="Times New Roman" w:cs="Times New Roman"/>
          <w:color w:val="000000"/>
          <w:sz w:val="36"/>
          <w:szCs w:val="36"/>
          <w:lang w:val="en-YE"/>
        </w:rPr>
        <w:t>→</w:t>
      </w:r>
      <w:r w:rsidRPr="005A1935">
        <w:rPr>
          <w:rFonts w:ascii="Tajawal" w:eastAsia="Times New Roman" w:hAnsi="Tajawal" w:cs="Tajawal" w:hint="cs"/>
          <w:color w:val="000000"/>
          <w:sz w:val="36"/>
          <w:szCs w:val="36"/>
          <w:lang w:val="en-YE"/>
        </w:rPr>
        <w:t xml:space="preserve"> Africa</w:t>
      </w:r>
    </w:p>
    <w:p w14:paraId="0D23C014" w14:textId="77777777" w:rsidR="005A1935" w:rsidRPr="005A1935" w:rsidRDefault="005A1935" w:rsidP="005A1935">
      <w:pPr>
        <w:numPr>
          <w:ilvl w:val="0"/>
          <w:numId w:val="20"/>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High-fee corridors with 7</w:t>
      </w:r>
      <w:r w:rsidRPr="005A1935">
        <w:rPr>
          <w:rFonts w:ascii="Tajawal" w:eastAsia="Times New Roman" w:hAnsi="Tajawal" w:cs="Tajawal" w:hint="cs"/>
          <w:color w:val="000000"/>
          <w:sz w:val="24"/>
          <w:szCs w:val="24"/>
          <w:lang w:val="en-YE"/>
        </w:rPr>
        <w:noBreakHyphen/>
        <w:t>8% average transfer costs offer clear value opportunity for digital-first SNPL services that reduce cost and bring transparency.</w:t>
      </w:r>
    </w:p>
    <w:p w14:paraId="2F8C85ED" w14:textId="77777777" w:rsidR="005A1935" w:rsidRPr="005A1935" w:rsidRDefault="005A1935" w:rsidP="005A1935">
      <w:pPr>
        <w:numPr>
          <w:ilvl w:val="0"/>
          <w:numId w:val="20"/>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Strong diaspora presence: Significant migrant communities from West Africa reside across Europe—especially in the UK, France, Spain, and Italy—aligning well with SNPL’s user segments.</w:t>
      </w:r>
    </w:p>
    <w:p w14:paraId="3CFA9397" w14:textId="77777777" w:rsidR="005A1935" w:rsidRPr="005A1935" w:rsidRDefault="005A1935" w:rsidP="005A1935">
      <w:pPr>
        <w:numPr>
          <w:ilvl w:val="0"/>
          <w:numId w:val="20"/>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Growth potential: With rising remittances post-pandemic and projected recovery in inbound flows to Africa, SNPL can capture liquidity flows that currently route via costly traditional channels.</w:t>
      </w:r>
    </w:p>
    <w:p w14:paraId="73FCCE0F" w14:textId="77777777" w:rsidR="005A1935" w:rsidRPr="005A1935" w:rsidRDefault="005A1935" w:rsidP="005A1935">
      <w:pPr>
        <w:numPr>
          <w:ilvl w:val="0"/>
          <w:numId w:val="20"/>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lastRenderedPageBreak/>
        <w:t>Enhanced accessibility: SNPL solutions embedded in mobile/digital wallets can attract both senders and recipients currently underserved by cash-based remittance channels.</w:t>
      </w:r>
    </w:p>
    <w:p w14:paraId="447A1D38" w14:textId="77777777" w:rsidR="005A1935" w:rsidRPr="005A1935" w:rsidRDefault="00E707B4" w:rsidP="005A1935">
      <w:pPr>
        <w:spacing w:line="240" w:lineRule="auto"/>
        <w:rPr>
          <w:rFonts w:ascii="Tajawal" w:eastAsia="Times New Roman" w:hAnsi="Tajawal" w:cs="Tajawal"/>
          <w:sz w:val="24"/>
          <w:szCs w:val="24"/>
          <w:lang w:val="en-YE"/>
        </w:rPr>
      </w:pPr>
      <w:r>
        <w:rPr>
          <w:noProof/>
        </w:rPr>
      </w:r>
      <w:r>
        <w:pict w14:anchorId="0B2AB236">
          <v:rect id="Horizontal Line 11" o:spid="_x0000_s1032"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" fillcolor="black" stroked="f">
            <o:lock v:ext="edit" rotation="t" aspectratio="t" verticies="t" text="t" shapetype="t"/>
            <w10:anchorlock/>
          </v:rect>
        </w:pict>
      </w:r>
    </w:p>
    <w:p w14:paraId="71231EF1" w14:textId="77777777" w:rsidR="005A1935" w:rsidRPr="005A1935" w:rsidRDefault="005A1935" w:rsidP="005A1935">
      <w:pPr>
        <w:spacing w:before="100" w:beforeAutospacing="1" w:after="100" w:afterAutospacing="1" w:line="240" w:lineRule="auto"/>
        <w:rPr>
          <w:rFonts w:ascii="Tajawal" w:eastAsia="Times New Roman" w:hAnsi="Tajawal" w:cs="Tajawal"/>
          <w:color w:val="000000"/>
          <w:sz w:val="24"/>
          <w:szCs w:val="24"/>
          <w:lang w:val="en-YE"/>
        </w:rPr>
      </w:pPr>
    </w:p>
    <w:p w14:paraId="12AF8643" w14:textId="77777777" w:rsidR="005A1935" w:rsidRPr="005A1935" w:rsidRDefault="005A1935" w:rsidP="005A1935">
      <w:pPr>
        <w:spacing w:before="100" w:beforeAutospacing="1" w:after="100" w:afterAutospacing="1" w:line="240" w:lineRule="auto"/>
        <w:outlineLvl w:val="1"/>
        <w:rPr>
          <w:rFonts w:ascii="Tajawal" w:eastAsia="Times New Roman" w:hAnsi="Tajawal" w:cs="Tajawal"/>
          <w:color w:val="000000"/>
          <w:sz w:val="36"/>
          <w:szCs w:val="36"/>
          <w:lang w:val="en-YE"/>
        </w:rPr>
      </w:pPr>
      <w:r w:rsidRPr="005A1935">
        <w:rPr>
          <w:rFonts w:ascii="Apple Color Emoji" w:eastAsia="Times New Roman" w:hAnsi="Apple Color Emoji" w:cs="Apple Color Emoji"/>
          <w:color w:val="000000"/>
          <w:sz w:val="36"/>
          <w:szCs w:val="36"/>
          <w:lang w:val="en-YE"/>
        </w:rPr>
        <w:t>📊</w:t>
      </w:r>
      <w:r w:rsidRPr="005A1935">
        <w:rPr>
          <w:rFonts w:ascii="Tajawal" w:eastAsia="Times New Roman" w:hAnsi="Tajawal" w:cs="Tajawal" w:hint="cs"/>
          <w:color w:val="000000"/>
          <w:sz w:val="36"/>
          <w:szCs w:val="36"/>
          <w:lang w:val="en-YE"/>
        </w:rPr>
        <w:t xml:space="preserve"> Remittances: USA </w:t>
      </w:r>
      <w:r w:rsidRPr="005A1935">
        <w:rPr>
          <w:rFonts w:ascii="Times New Roman" w:eastAsia="Times New Roman" w:hAnsi="Times New Roman" w:cs="Times New Roman"/>
          <w:color w:val="000000"/>
          <w:sz w:val="36"/>
          <w:szCs w:val="36"/>
          <w:lang w:val="en-YE"/>
        </w:rPr>
        <w:t>→</w:t>
      </w:r>
      <w:r w:rsidRPr="005A1935">
        <w:rPr>
          <w:rFonts w:ascii="Tajawal" w:eastAsia="Times New Roman" w:hAnsi="Tajawal" w:cs="Tajawal" w:hint="cs"/>
          <w:color w:val="000000"/>
          <w:sz w:val="36"/>
          <w:szCs w:val="36"/>
          <w:lang w:val="en-YE"/>
        </w:rPr>
        <w:t xml:space="preserve"> Canada Corridor (2023–2024)</w:t>
      </w:r>
    </w:p>
    <w:p w14:paraId="72BE7926" w14:textId="77777777" w:rsidR="005A1935" w:rsidRPr="005A1935" w:rsidRDefault="005A1935" w:rsidP="005A1935">
      <w:pPr>
        <w:spacing w:before="100" w:beforeAutospacing="1" w:after="100" w:afterAutospacing="1" w:line="240" w:lineRule="auto"/>
        <w:outlineLvl w:val="2"/>
        <w:rPr>
          <w:rFonts w:ascii="Tajawal" w:eastAsia="Times New Roman" w:hAnsi="Tajawal" w:cs="Tajawal"/>
          <w:color w:val="000000"/>
          <w:sz w:val="27"/>
          <w:szCs w:val="27"/>
          <w:lang w:val="en-YE"/>
        </w:rPr>
      </w:pPr>
      <w:r w:rsidRPr="005A1935">
        <w:rPr>
          <w:rFonts w:ascii="Apple Color Emoji" w:eastAsia="Times New Roman" w:hAnsi="Apple Color Emoji" w:cs="Apple Color Emoji"/>
          <w:color w:val="000000"/>
          <w:sz w:val="27"/>
          <w:szCs w:val="27"/>
          <w:lang w:val="en-YE"/>
        </w:rPr>
        <w:t>📌</w:t>
      </w:r>
      <w:r w:rsidRPr="005A1935">
        <w:rPr>
          <w:rFonts w:ascii="Tajawal" w:eastAsia="Times New Roman" w:hAnsi="Tajawal" w:cs="Tajawal" w:hint="cs"/>
          <w:color w:val="000000"/>
          <w:sz w:val="27"/>
          <w:szCs w:val="27"/>
          <w:lang w:val="en-YE"/>
        </w:rPr>
        <w:t xml:space="preserve"> Remittance Volumes</w:t>
      </w:r>
    </w:p>
    <w:p w14:paraId="103AAB95" w14:textId="77777777" w:rsidR="005A1935" w:rsidRPr="005A1935" w:rsidRDefault="005A1935" w:rsidP="005A1935">
      <w:pPr>
        <w:numPr>
          <w:ilvl w:val="0"/>
          <w:numId w:val="21"/>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The United States remains the largest global remittance sender, with outflows exceeding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85.8 billion in 2023, up about 5% year-over-year </w:t>
      </w:r>
      <w:hyperlink r:id="rId26" w:tgtFrame="_blank" w:history="1">
        <w:r w:rsidRPr="005A1935">
          <w:rPr>
            <w:rFonts w:ascii="Tajawal" w:eastAsia="Times New Roman" w:hAnsi="Tajawal" w:cs="Tajawal" w:hint="cs"/>
            <w:color w:val="0000FF"/>
            <w:sz w:val="24"/>
            <w:szCs w:val="24"/>
            <w:u w:val="single"/>
            <w:lang w:val="en-YE"/>
          </w:rPr>
          <w:t>gpfi.org+1</w:t>
        </w:r>
      </w:hyperlink>
      <w:r w:rsidRPr="005A1935">
        <w:rPr>
          <w:rFonts w:ascii="Tajawal" w:eastAsia="Times New Roman" w:hAnsi="Tajawal" w:cs="Tajawal" w:hint="cs"/>
          <w:color w:val="000000"/>
          <w:sz w:val="24"/>
          <w:szCs w:val="24"/>
          <w:lang w:val="en-YE"/>
        </w:rPr>
        <w:t>.</w:t>
      </w:r>
    </w:p>
    <w:p w14:paraId="35D52183" w14:textId="77777777" w:rsidR="005A1935" w:rsidRPr="005A1935" w:rsidRDefault="005A1935" w:rsidP="005A1935">
      <w:pPr>
        <w:numPr>
          <w:ilvl w:val="0"/>
          <w:numId w:val="21"/>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Although Canada is both a sender and receiver, its share of US-origin bilateral flows is relatively modest compared to other corridors. However, Canada’s total annual outflows were approximately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27.8 billion in 2018, with continued growth expected </w:t>
      </w:r>
      <w:hyperlink r:id="rId27" w:tgtFrame="_blank" w:history="1">
        <w:r w:rsidRPr="005A1935">
          <w:rPr>
            <w:rFonts w:ascii="Tajawal" w:eastAsia="Times New Roman" w:hAnsi="Tajawal" w:cs="Tajawal" w:hint="cs"/>
            <w:color w:val="0000FF"/>
            <w:sz w:val="24"/>
            <w:szCs w:val="24"/>
            <w:u w:val="single"/>
            <w:lang w:val="en-YE"/>
          </w:rPr>
          <w:t>cidpnsi.ca</w:t>
        </w:r>
      </w:hyperlink>
      <w:r w:rsidRPr="005A1935">
        <w:rPr>
          <w:rFonts w:ascii="Tajawal" w:eastAsia="Times New Roman" w:hAnsi="Tajawal" w:cs="Tajawal" w:hint="cs"/>
          <w:color w:val="000000"/>
          <w:sz w:val="24"/>
          <w:szCs w:val="24"/>
          <w:lang w:val="en-YE"/>
        </w:rPr>
        <w:t>.</w:t>
      </w:r>
    </w:p>
    <w:p w14:paraId="4C7362C6" w14:textId="77777777" w:rsidR="005A1935" w:rsidRPr="005A1935" w:rsidRDefault="005A1935" w:rsidP="005A1935">
      <w:pPr>
        <w:spacing w:before="100" w:beforeAutospacing="1" w:after="100" w:afterAutospacing="1" w:line="240" w:lineRule="auto"/>
        <w:outlineLvl w:val="2"/>
        <w:rPr>
          <w:rFonts w:ascii="Tajawal" w:eastAsia="Times New Roman" w:hAnsi="Tajawal" w:cs="Tajawal"/>
          <w:color w:val="000000"/>
          <w:sz w:val="27"/>
          <w:szCs w:val="27"/>
          <w:lang w:val="en-YE"/>
        </w:rPr>
      </w:pPr>
      <w:r w:rsidRPr="005A1935">
        <w:rPr>
          <w:rFonts w:ascii="Apple Color Emoji" w:eastAsia="Times New Roman" w:hAnsi="Apple Color Emoji" w:cs="Apple Color Emoji"/>
          <w:color w:val="000000"/>
          <w:sz w:val="27"/>
          <w:szCs w:val="27"/>
          <w:lang w:val="en-YE"/>
        </w:rPr>
        <w:t>💸</w:t>
      </w:r>
      <w:r w:rsidRPr="005A1935">
        <w:rPr>
          <w:rFonts w:ascii="Tajawal" w:eastAsia="Times New Roman" w:hAnsi="Tajawal" w:cs="Tajawal" w:hint="cs"/>
          <w:color w:val="000000"/>
          <w:sz w:val="27"/>
          <w:szCs w:val="27"/>
          <w:lang w:val="en-YE"/>
        </w:rPr>
        <w:t xml:space="preserve"> Cost of Sending</w:t>
      </w:r>
    </w:p>
    <w:p w14:paraId="01A12B03" w14:textId="77777777" w:rsidR="005A1935" w:rsidRPr="005A1935" w:rsidRDefault="005A1935" w:rsidP="005A1935">
      <w:pPr>
        <w:numPr>
          <w:ilvl w:val="0"/>
          <w:numId w:val="22"/>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The global average cost for sending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200 in Q1</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2024 was about 5.71% from the USA, compared to 6.23% from Canada </w:t>
      </w:r>
      <w:hyperlink r:id="rId28" w:tgtFrame="_blank" w:history="1">
        <w:r w:rsidRPr="005A1935">
          <w:rPr>
            <w:rFonts w:ascii="Tajawal" w:eastAsia="Times New Roman" w:hAnsi="Tajawal" w:cs="Tajawal" w:hint="cs"/>
            <w:color w:val="0000FF"/>
            <w:sz w:val="24"/>
            <w:szCs w:val="24"/>
            <w:u w:val="single"/>
            <w:lang w:val="en-YE"/>
          </w:rPr>
          <w:t>Remittance Prices Worldwide+1</w:t>
        </w:r>
      </w:hyperlink>
      <w:r w:rsidRPr="005A1935">
        <w:rPr>
          <w:rFonts w:ascii="Tajawal" w:eastAsia="Times New Roman" w:hAnsi="Tajawal" w:cs="Tajawal" w:hint="cs"/>
          <w:color w:val="000000"/>
          <w:sz w:val="24"/>
          <w:szCs w:val="24"/>
          <w:lang w:val="en-YE"/>
        </w:rPr>
        <w:t>.</w:t>
      </w:r>
    </w:p>
    <w:p w14:paraId="1EFBC6D7" w14:textId="77777777" w:rsidR="005A1935" w:rsidRPr="005A1935" w:rsidRDefault="005A1935" w:rsidP="005A1935">
      <w:pPr>
        <w:numPr>
          <w:ilvl w:val="0"/>
          <w:numId w:val="22"/>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Sending methods matter: cash-based transfers averaged 6.8%, while mobile money payments cost around 5.4%, and card</w:t>
      </w:r>
      <w:r w:rsidRPr="005A1935">
        <w:rPr>
          <w:rFonts w:ascii="Tajawal" w:eastAsia="Times New Roman" w:hAnsi="Tajawal" w:cs="Tajawal" w:hint="cs"/>
          <w:color w:val="000000"/>
          <w:sz w:val="24"/>
          <w:szCs w:val="24"/>
          <w:lang w:val="en-YE"/>
        </w:rPr>
        <w:noBreakHyphen/>
        <w:t>based transfers (debit/credit) were about 5.1% </w:t>
      </w:r>
      <w:hyperlink r:id="rId29" w:tgtFrame="_blank" w:history="1">
        <w:r w:rsidRPr="005A1935">
          <w:rPr>
            <w:rFonts w:ascii="Tajawal" w:eastAsia="Times New Roman" w:hAnsi="Tajawal" w:cs="Tajawal" w:hint="cs"/>
            <w:color w:val="0000FF"/>
            <w:sz w:val="24"/>
            <w:szCs w:val="24"/>
            <w:u w:val="single"/>
            <w:lang w:val="en-YE"/>
          </w:rPr>
          <w:t>Visa</w:t>
        </w:r>
      </w:hyperlink>
      <w:r w:rsidRPr="005A1935">
        <w:rPr>
          <w:rFonts w:ascii="Tajawal" w:eastAsia="Times New Roman" w:hAnsi="Tajawal" w:cs="Tajawal" w:hint="cs"/>
          <w:color w:val="000000"/>
          <w:sz w:val="24"/>
          <w:szCs w:val="24"/>
          <w:lang w:val="en-YE"/>
        </w:rPr>
        <w:t>.</w:t>
      </w:r>
    </w:p>
    <w:p w14:paraId="3C07FB27" w14:textId="77777777" w:rsidR="005A1935" w:rsidRPr="005A1935" w:rsidRDefault="005A1935" w:rsidP="005A1935">
      <w:pPr>
        <w:numPr>
          <w:ilvl w:val="0"/>
          <w:numId w:val="22"/>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While specific corridor-level cost data (USA</w:t>
      </w:r>
      <w:r w:rsidRPr="005A1935">
        <w:rPr>
          <w:rFonts w:ascii="Times New Roman" w:eastAsia="Times New Roman" w:hAnsi="Times New Roman" w:cs="Times New Roman"/>
          <w:color w:val="000000"/>
          <w:sz w:val="24"/>
          <w:szCs w:val="24"/>
          <w:lang w:val="en-YE"/>
        </w:rPr>
        <w:t>→</w:t>
      </w:r>
      <w:r w:rsidRPr="005A1935">
        <w:rPr>
          <w:rFonts w:ascii="Tajawal" w:eastAsia="Times New Roman" w:hAnsi="Tajawal" w:cs="Tajawal" w:hint="cs"/>
          <w:color w:val="000000"/>
          <w:sz w:val="24"/>
          <w:szCs w:val="24"/>
          <w:lang w:val="en-YE"/>
        </w:rPr>
        <w:t>Canada) is not published in RPW, US-origin flows lie near the lower end of G20 averages (~5.7–5.8%), suggesting costs in the range of 5.5–6% when using digital channels</w:t>
      </w:r>
      <w:hyperlink r:id="rId30" w:tgtFrame="_blank" w:history="1">
        <w:r w:rsidRPr="005A1935">
          <w:rPr>
            <w:rFonts w:ascii="Tajawal" w:eastAsia="Times New Roman" w:hAnsi="Tajawal" w:cs="Tajawal" w:hint="cs"/>
            <w:color w:val="0000FF"/>
            <w:sz w:val="24"/>
            <w:szCs w:val="24"/>
            <w:u w:val="single"/>
            <w:lang w:val="en-YE"/>
          </w:rPr>
          <w:t>Remittance Prices Worldwide+1</w:t>
        </w:r>
      </w:hyperlink>
      <w:r w:rsidRPr="005A1935">
        <w:rPr>
          <w:rFonts w:ascii="Tajawal" w:eastAsia="Times New Roman" w:hAnsi="Tajawal" w:cs="Tajawal" w:hint="cs"/>
          <w:color w:val="000000"/>
          <w:sz w:val="24"/>
          <w:szCs w:val="24"/>
          <w:lang w:val="en-YE"/>
        </w:rPr>
        <w:t>.</w:t>
      </w:r>
    </w:p>
    <w:p w14:paraId="193ACC5E" w14:textId="77777777" w:rsidR="005A1935" w:rsidRPr="005A1935" w:rsidRDefault="00E707B4" w:rsidP="005A1935">
      <w:pPr>
        <w:spacing w:line="240" w:lineRule="auto"/>
        <w:rPr>
          <w:rFonts w:ascii="Tajawal" w:eastAsia="Times New Roman" w:hAnsi="Tajawal" w:cs="Tajawal"/>
          <w:sz w:val="24"/>
          <w:szCs w:val="24"/>
          <w:lang w:val="en-YE"/>
        </w:rPr>
      </w:pPr>
      <w:r>
        <w:rPr>
          <w:noProof/>
        </w:rPr>
      </w:r>
      <w:r>
        <w:pict w14:anchorId="14228EB4">
          <v:rect id="Horizontal Line 12" o:spid="_x0000_s1031"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" fillcolor="black" stroked="f">
            <o:lock v:ext="edit" rotation="t" aspectratio="t" verticies="t" text="t" shapetype="t"/>
            <w10:anchorlock/>
          </v:rect>
        </w:pict>
      </w:r>
    </w:p>
    <w:p w14:paraId="27C8364C" w14:textId="77777777" w:rsidR="00E77252" w:rsidRDefault="00E77252" w:rsidP="005A1935">
      <w:pPr>
        <w:spacing w:before="100" w:beforeAutospacing="1" w:after="100" w:afterAutospacing="1" w:line="240" w:lineRule="auto"/>
        <w:outlineLvl w:val="1"/>
        <w:rPr>
          <w:rFonts w:ascii="Apple Color Emoji" w:eastAsia="Times New Roman" w:hAnsi="Apple Color Emoji" w:cs="Apple Color Emoji"/>
          <w:color w:val="000000"/>
          <w:sz w:val="36"/>
          <w:szCs w:val="36"/>
          <w:lang w:val="en-YE"/>
        </w:rPr>
      </w:pPr>
    </w:p>
    <w:p w14:paraId="7FBEEF10" w14:textId="6505BA48" w:rsidR="005A1935" w:rsidRPr="005A1935" w:rsidRDefault="005A1935" w:rsidP="005A1935">
      <w:pPr>
        <w:spacing w:before="100" w:beforeAutospacing="1" w:after="100" w:afterAutospacing="1" w:line="240" w:lineRule="auto"/>
        <w:outlineLvl w:val="1"/>
        <w:rPr>
          <w:rFonts w:ascii="Tajawal" w:eastAsia="Times New Roman" w:hAnsi="Tajawal" w:cs="Tajawal"/>
          <w:color w:val="000000"/>
          <w:sz w:val="36"/>
          <w:szCs w:val="36"/>
          <w:lang w:val="en-YE"/>
        </w:rPr>
      </w:pPr>
      <w:r w:rsidRPr="005A1935">
        <w:rPr>
          <w:rFonts w:ascii="Apple Color Emoji" w:eastAsia="Times New Roman" w:hAnsi="Apple Color Emoji" w:cs="Apple Color Emoji"/>
          <w:color w:val="000000"/>
          <w:sz w:val="36"/>
          <w:szCs w:val="36"/>
          <w:lang w:val="en-YE"/>
        </w:rPr>
        <w:t>🔍</w:t>
      </w:r>
      <w:r w:rsidRPr="005A1935">
        <w:rPr>
          <w:rFonts w:ascii="Tajawal" w:eastAsia="Times New Roman" w:hAnsi="Tajawal" w:cs="Tajawal" w:hint="cs"/>
          <w:color w:val="000000"/>
          <w:sz w:val="36"/>
          <w:szCs w:val="36"/>
          <w:lang w:val="en-YE"/>
        </w:rPr>
        <w:t xml:space="preserve"> Highlights for Key Metrics</w:t>
      </w:r>
    </w:p>
    <w:tbl>
      <w:tblPr>
        <w:tblStyle w:val="TableGrid"/>
        <w:tblW w:w="0" w:type="auto"/>
        <w:tblLook w:val="04A0" w:firstRow="1" w:lastRow="0" w:firstColumn="1" w:lastColumn="0" w:noHBand="0" w:noVBand="1"/>
      </w:tblPr>
      <w:tblGrid>
        <w:gridCol w:w="3612"/>
        <w:gridCol w:w="5738"/>
      </w:tblGrid>
      <w:tr w:rsidR="005A1935" w:rsidRPr="005A1935" w14:paraId="5ABC3146" w14:textId="77777777" w:rsidTr="00E77252">
        <w:tc>
          <w:tcPr>
            <w:tcW w:w="0" w:type="auto"/>
            <w:hideMark/>
          </w:tcPr>
          <w:p w14:paraId="5AE62C80" w14:textId="77777777" w:rsidR="005A1935" w:rsidRPr="005A1935" w:rsidRDefault="005A1935" w:rsidP="005A1935">
            <w:pPr>
              <w:spacing w:line="240" w:lineRule="auto"/>
              <w:jc w:val="center"/>
              <w:rPr>
                <w:rFonts w:ascii="Tajawal" w:eastAsia="Times New Roman" w:hAnsi="Tajawal" w:cs="Tajawal"/>
                <w:b/>
                <w:bCs/>
                <w:sz w:val="24"/>
                <w:szCs w:val="24"/>
                <w:lang w:val="en-YE"/>
              </w:rPr>
            </w:pPr>
            <w:r w:rsidRPr="005A1935">
              <w:rPr>
                <w:rFonts w:ascii="Tajawal" w:eastAsia="Times New Roman" w:hAnsi="Tajawal" w:cs="Tajawal" w:hint="cs"/>
                <w:b/>
                <w:bCs/>
                <w:sz w:val="24"/>
                <w:szCs w:val="24"/>
                <w:lang w:val="en-YE"/>
              </w:rPr>
              <w:t>Metric</w:t>
            </w:r>
          </w:p>
        </w:tc>
        <w:tc>
          <w:tcPr>
            <w:tcW w:w="0" w:type="auto"/>
            <w:hideMark/>
          </w:tcPr>
          <w:p w14:paraId="4B4615B9" w14:textId="77777777" w:rsidR="005A1935" w:rsidRPr="005A1935" w:rsidRDefault="005A1935" w:rsidP="005A1935">
            <w:pPr>
              <w:spacing w:line="240" w:lineRule="auto"/>
              <w:jc w:val="center"/>
              <w:rPr>
                <w:rFonts w:ascii="Tajawal" w:eastAsia="Times New Roman" w:hAnsi="Tajawal" w:cs="Tajawal"/>
                <w:b/>
                <w:bCs/>
                <w:sz w:val="24"/>
                <w:szCs w:val="24"/>
                <w:lang w:val="en-YE"/>
              </w:rPr>
            </w:pPr>
            <w:r w:rsidRPr="005A1935">
              <w:rPr>
                <w:rFonts w:ascii="Tajawal" w:eastAsia="Times New Roman" w:hAnsi="Tajawal" w:cs="Tajawal" w:hint="cs"/>
                <w:b/>
                <w:bCs/>
                <w:sz w:val="24"/>
                <w:szCs w:val="24"/>
                <w:lang w:val="en-YE"/>
              </w:rPr>
              <w:t>Estimate / Value</w:t>
            </w:r>
          </w:p>
        </w:tc>
      </w:tr>
      <w:tr w:rsidR="005A1935" w:rsidRPr="005A1935" w14:paraId="20600856" w14:textId="77777777" w:rsidTr="00E77252">
        <w:tc>
          <w:tcPr>
            <w:tcW w:w="0" w:type="auto"/>
            <w:hideMark/>
          </w:tcPr>
          <w:p w14:paraId="00BB26D2"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U.S. Outbound Remittances (2023)</w:t>
            </w:r>
          </w:p>
        </w:tc>
        <w:tc>
          <w:tcPr>
            <w:tcW w:w="0" w:type="auto"/>
            <w:hideMark/>
          </w:tcPr>
          <w:p w14:paraId="26CCF858"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USD</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85.8</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billion </w:t>
            </w:r>
            <w:hyperlink r:id="rId31" w:tgtFrame="_blank" w:history="1">
              <w:r w:rsidRPr="005A1935">
                <w:rPr>
                  <w:rFonts w:ascii="Tajawal" w:eastAsia="Times New Roman" w:hAnsi="Tajawal" w:cs="Tajawal" w:hint="cs"/>
                  <w:color w:val="0000FF"/>
                  <w:sz w:val="24"/>
                  <w:szCs w:val="24"/>
                  <w:u w:val="single"/>
                  <w:lang w:val="en-YE"/>
                </w:rPr>
                <w:t>gpfi.org</w:t>
              </w:r>
            </w:hyperlink>
          </w:p>
        </w:tc>
      </w:tr>
      <w:tr w:rsidR="005A1935" w:rsidRPr="005A1935" w14:paraId="61F295EB" w14:textId="77777777" w:rsidTr="00E77252">
        <w:tc>
          <w:tcPr>
            <w:tcW w:w="0" w:type="auto"/>
            <w:hideMark/>
          </w:tcPr>
          <w:p w14:paraId="1F2C8B58"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Canada Outbound (2018)</w:t>
            </w:r>
          </w:p>
        </w:tc>
        <w:tc>
          <w:tcPr>
            <w:tcW w:w="0" w:type="auto"/>
            <w:hideMark/>
          </w:tcPr>
          <w:p w14:paraId="0AEA84BA"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USD</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27.8</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billion total </w:t>
            </w:r>
            <w:hyperlink r:id="rId32" w:tgtFrame="_blank" w:history="1">
              <w:r w:rsidRPr="005A1935">
                <w:rPr>
                  <w:rFonts w:ascii="Tajawal" w:eastAsia="Times New Roman" w:hAnsi="Tajawal" w:cs="Tajawal" w:hint="cs"/>
                  <w:color w:val="0000FF"/>
                  <w:sz w:val="24"/>
                  <w:szCs w:val="24"/>
                  <w:u w:val="single"/>
                  <w:lang w:val="en-YE"/>
                </w:rPr>
                <w:t>cidpnsi.ca</w:t>
              </w:r>
            </w:hyperlink>
            <w:hyperlink r:id="rId33" w:tgtFrame="_blank" w:history="1">
              <w:r w:rsidRPr="005A1935">
                <w:rPr>
                  <w:rFonts w:ascii="Tajawal" w:eastAsia="Times New Roman" w:hAnsi="Tajawal" w:cs="Tajawal" w:hint="cs"/>
                  <w:color w:val="0000FF"/>
                  <w:sz w:val="24"/>
                  <w:szCs w:val="24"/>
                  <w:u w:val="single"/>
                  <w:lang w:val="en-YE"/>
                </w:rPr>
                <w:t>gpfi.org</w:t>
              </w:r>
            </w:hyperlink>
          </w:p>
        </w:tc>
      </w:tr>
      <w:tr w:rsidR="005A1935" w:rsidRPr="005A1935" w14:paraId="66FCDF04" w14:textId="77777777" w:rsidTr="00E77252">
        <w:tc>
          <w:tcPr>
            <w:tcW w:w="0" w:type="auto"/>
            <w:hideMark/>
          </w:tcPr>
          <w:p w14:paraId="326E3F5C"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Avg. Cost from U.S. (Q1</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2024)</w:t>
            </w:r>
          </w:p>
        </w:tc>
        <w:tc>
          <w:tcPr>
            <w:tcW w:w="0" w:type="auto"/>
            <w:hideMark/>
          </w:tcPr>
          <w:p w14:paraId="4A818CA1"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5.71% total cost for USD</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200 </w:t>
            </w:r>
            <w:hyperlink r:id="rId34" w:tgtFrame="_blank" w:history="1">
              <w:r w:rsidRPr="005A1935">
                <w:rPr>
                  <w:rFonts w:ascii="Tajawal" w:eastAsia="Times New Roman" w:hAnsi="Tajawal" w:cs="Tajawal" w:hint="cs"/>
                  <w:color w:val="0000FF"/>
                  <w:sz w:val="24"/>
                  <w:szCs w:val="24"/>
                  <w:u w:val="single"/>
                  <w:lang w:val="en-YE"/>
                </w:rPr>
                <w:t>Remittance Prices Worldwide+1</w:t>
              </w:r>
            </w:hyperlink>
          </w:p>
        </w:tc>
      </w:tr>
      <w:tr w:rsidR="005A1935" w:rsidRPr="005A1935" w14:paraId="765F62C2" w14:textId="77777777" w:rsidTr="00E77252">
        <w:tc>
          <w:tcPr>
            <w:tcW w:w="0" w:type="auto"/>
            <w:hideMark/>
          </w:tcPr>
          <w:p w14:paraId="0E049730"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lastRenderedPageBreak/>
              <w:t>Cost by Payment Mode</w:t>
            </w:r>
          </w:p>
        </w:tc>
        <w:tc>
          <w:tcPr>
            <w:tcW w:w="0" w:type="auto"/>
            <w:hideMark/>
          </w:tcPr>
          <w:p w14:paraId="6128D424"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Cash: ~6.8%; Mobile money: ~5.4%; Cards: ~5.1% </w:t>
            </w:r>
            <w:hyperlink r:id="rId35" w:tgtFrame="_blank" w:history="1">
              <w:r w:rsidRPr="005A1935">
                <w:rPr>
                  <w:rFonts w:ascii="Tajawal" w:eastAsia="Times New Roman" w:hAnsi="Tajawal" w:cs="Tajawal" w:hint="cs"/>
                  <w:color w:val="0000FF"/>
                  <w:sz w:val="24"/>
                  <w:szCs w:val="24"/>
                  <w:u w:val="single"/>
                  <w:lang w:val="en-YE"/>
                </w:rPr>
                <w:t>Visa</w:t>
              </w:r>
            </w:hyperlink>
          </w:p>
        </w:tc>
      </w:tr>
      <w:tr w:rsidR="005A1935" w:rsidRPr="005A1935" w14:paraId="37B6283D" w14:textId="77777777" w:rsidTr="00E77252">
        <w:tc>
          <w:tcPr>
            <w:tcW w:w="0" w:type="auto"/>
            <w:hideMark/>
          </w:tcPr>
          <w:p w14:paraId="445CAC14"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Estimated Corridor Cost U.S.</w:t>
            </w:r>
            <w:r w:rsidRPr="005A1935">
              <w:rPr>
                <w:rFonts w:ascii="Times New Roman" w:eastAsia="Times New Roman" w:hAnsi="Times New Roman" w:cs="Times New Roman"/>
                <w:sz w:val="24"/>
                <w:szCs w:val="24"/>
                <w:lang w:val="en-YE"/>
              </w:rPr>
              <w:t>→</w:t>
            </w:r>
            <w:r w:rsidRPr="005A1935">
              <w:rPr>
                <w:rFonts w:ascii="Tajawal" w:eastAsia="Times New Roman" w:hAnsi="Tajawal" w:cs="Tajawal" w:hint="cs"/>
                <w:sz w:val="24"/>
                <w:szCs w:val="24"/>
                <w:lang w:val="en-YE"/>
              </w:rPr>
              <w:t>Canada</w:t>
            </w:r>
          </w:p>
        </w:tc>
        <w:tc>
          <w:tcPr>
            <w:tcW w:w="0" w:type="auto"/>
            <w:hideMark/>
          </w:tcPr>
          <w:p w14:paraId="324261FE"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~5.5–6% (digital channels)</w:t>
            </w:r>
          </w:p>
        </w:tc>
      </w:tr>
    </w:tbl>
    <w:p w14:paraId="62327344" w14:textId="77777777" w:rsidR="005A1935" w:rsidRPr="005A1935" w:rsidRDefault="00E707B4" w:rsidP="005A1935">
      <w:pPr>
        <w:spacing w:line="240" w:lineRule="auto"/>
        <w:rPr>
          <w:rFonts w:ascii="Tajawal" w:eastAsia="Times New Roman" w:hAnsi="Tajawal" w:cs="Tajawal"/>
          <w:sz w:val="24"/>
          <w:szCs w:val="24"/>
          <w:lang w:val="en-YE"/>
        </w:rPr>
      </w:pPr>
      <w:r>
        <w:rPr>
          <w:noProof/>
        </w:rPr>
      </w:r>
      <w:r>
        <w:pict w14:anchorId="2C12D632">
          <v:rect id="Horizontal Line 13" o:spid="_x0000_s1030"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" fillcolor="black" stroked="f">
            <o:lock v:ext="edit" rotation="t" aspectratio="t" verticies="t" text="t" shapetype="t"/>
            <w10:anchorlock/>
          </v:rect>
        </w:pict>
      </w:r>
    </w:p>
    <w:p w14:paraId="447CE001" w14:textId="77777777" w:rsidR="005A1935" w:rsidRPr="005A1935" w:rsidRDefault="005A1935" w:rsidP="005A1935">
      <w:pPr>
        <w:spacing w:before="100" w:beforeAutospacing="1" w:after="100" w:afterAutospacing="1" w:line="240" w:lineRule="auto"/>
        <w:outlineLvl w:val="1"/>
        <w:rPr>
          <w:rFonts w:ascii="Tajawal" w:eastAsia="Times New Roman" w:hAnsi="Tajawal" w:cs="Tajawal"/>
          <w:color w:val="000000"/>
          <w:sz w:val="36"/>
          <w:szCs w:val="36"/>
          <w:lang w:val="en-YE"/>
        </w:rPr>
      </w:pPr>
      <w:r w:rsidRPr="005A1935">
        <w:rPr>
          <w:rFonts w:ascii="Apple Color Emoji" w:eastAsia="Times New Roman" w:hAnsi="Apple Color Emoji" w:cs="Apple Color Emoji"/>
          <w:color w:val="000000"/>
          <w:sz w:val="36"/>
          <w:szCs w:val="36"/>
          <w:lang w:val="en-YE"/>
        </w:rPr>
        <w:t>✅</w:t>
      </w:r>
      <w:r w:rsidRPr="005A1935">
        <w:rPr>
          <w:rFonts w:ascii="Tajawal" w:eastAsia="Times New Roman" w:hAnsi="Tajawal" w:cs="Tajawal" w:hint="cs"/>
          <w:color w:val="000000"/>
          <w:sz w:val="36"/>
          <w:szCs w:val="36"/>
          <w:lang w:val="en-YE"/>
        </w:rPr>
        <w:t xml:space="preserve"> Implications for SNPL Strategy</w:t>
      </w:r>
    </w:p>
    <w:p w14:paraId="05AA5A36" w14:textId="77777777" w:rsidR="005A1935" w:rsidRPr="005A1935" w:rsidRDefault="005A1935" w:rsidP="005A1935">
      <w:pPr>
        <w:numPr>
          <w:ilvl w:val="0"/>
          <w:numId w:val="23"/>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Volume &amp; Relevance: The USA</w:t>
      </w:r>
      <w:r w:rsidRPr="005A1935">
        <w:rPr>
          <w:rFonts w:ascii="Times New Roman" w:eastAsia="Times New Roman" w:hAnsi="Times New Roman" w:cs="Times New Roman"/>
          <w:color w:val="000000"/>
          <w:sz w:val="24"/>
          <w:szCs w:val="24"/>
          <w:lang w:val="en-YE"/>
        </w:rPr>
        <w:t>→</w:t>
      </w:r>
      <w:r w:rsidRPr="005A1935">
        <w:rPr>
          <w:rFonts w:ascii="Tajawal" w:eastAsia="Times New Roman" w:hAnsi="Tajawal" w:cs="Tajawal" w:hint="cs"/>
          <w:color w:val="000000"/>
          <w:sz w:val="24"/>
          <w:szCs w:val="24"/>
          <w:lang w:val="en-YE"/>
        </w:rPr>
        <w:t>Canada corridor involves multi-billion-dollar flows, particularly between diasporas and families or business links across the border.</w:t>
      </w:r>
    </w:p>
    <w:p w14:paraId="735386E8" w14:textId="77777777" w:rsidR="005A1935" w:rsidRPr="005A1935" w:rsidRDefault="005A1935" w:rsidP="005A1935">
      <w:pPr>
        <w:numPr>
          <w:ilvl w:val="0"/>
          <w:numId w:val="23"/>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Competitive Advantage: With traditional costs in the mid</w:t>
      </w:r>
      <w:r w:rsidRPr="005A1935">
        <w:rPr>
          <w:rFonts w:ascii="Tajawal" w:eastAsia="Times New Roman" w:hAnsi="Tajawal" w:cs="Tajawal" w:hint="cs"/>
          <w:color w:val="000000"/>
          <w:sz w:val="24"/>
          <w:szCs w:val="24"/>
          <w:lang w:val="en-YE"/>
        </w:rPr>
        <w:noBreakHyphen/>
        <w:t>5% range, SNPL-powered digital transfers can offer lower-cost alternatives, benefiting from efficiencies and improved rate transparency.</w:t>
      </w:r>
    </w:p>
    <w:p w14:paraId="666B6272" w14:textId="77777777" w:rsidR="005A1935" w:rsidRPr="005A1935" w:rsidRDefault="005A1935" w:rsidP="005A1935">
      <w:pPr>
        <w:numPr>
          <w:ilvl w:val="0"/>
          <w:numId w:val="23"/>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User Segments &amp; Value:</w:t>
      </w:r>
    </w:p>
    <w:p w14:paraId="40ACAC78" w14:textId="77777777" w:rsidR="005A1935" w:rsidRPr="005A1935" w:rsidRDefault="005A1935" w:rsidP="005A1935">
      <w:pPr>
        <w:numPr>
          <w:ilvl w:val="1"/>
          <w:numId w:val="23"/>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Migrant workers and business users who desire deferred payment flexibility can benefit from SNPL models.</w:t>
      </w:r>
    </w:p>
    <w:p w14:paraId="3B615781" w14:textId="77777777" w:rsidR="005A1935" w:rsidRPr="005A1935" w:rsidRDefault="005A1935" w:rsidP="005A1935">
      <w:pPr>
        <w:numPr>
          <w:ilvl w:val="1"/>
          <w:numId w:val="23"/>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Recipients gain by receiving instant funds, while senders manage their cash flow more effectively.</w:t>
      </w:r>
    </w:p>
    <w:p w14:paraId="2066B686" w14:textId="77777777" w:rsidR="005A1935" w:rsidRPr="005A1935" w:rsidRDefault="005A1935" w:rsidP="005A1935">
      <w:pPr>
        <w:numPr>
          <w:ilvl w:val="0"/>
          <w:numId w:val="23"/>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Channel Optimization: Emphasizing mobile-first and card-based remittances aligns with SNPL’s strengths—leveraging secure, fast, and inexpensive infrastructure.</w:t>
      </w:r>
    </w:p>
    <w:p w14:paraId="1F74F12C" w14:textId="77777777" w:rsidR="005A1935" w:rsidRPr="005A1935" w:rsidRDefault="00E707B4" w:rsidP="005A1935">
      <w:pPr>
        <w:spacing w:line="240" w:lineRule="auto"/>
        <w:rPr>
          <w:rFonts w:ascii="Tajawal" w:eastAsia="Times New Roman" w:hAnsi="Tajawal" w:cs="Tajawal"/>
          <w:sz w:val="24"/>
          <w:szCs w:val="24"/>
          <w:lang w:val="en-YE"/>
        </w:rPr>
      </w:pPr>
      <w:r>
        <w:rPr>
          <w:noProof/>
        </w:rPr>
      </w:r>
      <w:r>
        <w:pict w14:anchorId="32EAB09F">
          <v:rect id="Horizontal Line 14" o:spid="_x0000_s1029"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" fillcolor="black" stroked="f">
            <o:lock v:ext="edit" rotation="t" aspectratio="t" verticies="t" text="t" shapetype="t"/>
            <w10:anchorlock/>
          </v:rect>
        </w:pict>
      </w:r>
    </w:p>
    <w:p w14:paraId="6ABA0CD7" w14:textId="77777777" w:rsidR="005A1935" w:rsidRDefault="005A1935" w:rsidP="005A1935">
      <w:pPr>
        <w:spacing w:before="100" w:beforeAutospacing="1" w:after="100" w:afterAutospacing="1" w:line="240" w:lineRule="auto"/>
        <w:rPr>
          <w:rFonts w:ascii="Tajawal" w:eastAsia="Times New Roman" w:hAnsi="Tajawal" w:cs="Tajawal"/>
          <w:color w:val="000000"/>
          <w:sz w:val="24"/>
          <w:szCs w:val="24"/>
          <w:lang w:val="en-YE"/>
        </w:rPr>
      </w:pPr>
    </w:p>
    <w:p w14:paraId="2386B272" w14:textId="77777777" w:rsidR="00E77252" w:rsidRPr="005A1935" w:rsidRDefault="00E77252" w:rsidP="005A1935">
      <w:pPr>
        <w:spacing w:before="100" w:beforeAutospacing="1" w:after="100" w:afterAutospacing="1" w:line="240" w:lineRule="auto"/>
        <w:rPr>
          <w:rFonts w:ascii="Tajawal" w:eastAsia="Times New Roman" w:hAnsi="Tajawal" w:cs="Tajawal"/>
          <w:color w:val="000000"/>
          <w:sz w:val="24"/>
          <w:szCs w:val="24"/>
          <w:lang w:val="en-YE"/>
        </w:rPr>
      </w:pPr>
    </w:p>
    <w:p w14:paraId="133C2920" w14:textId="77777777" w:rsidR="005A1935" w:rsidRPr="005A1935" w:rsidRDefault="005A1935" w:rsidP="005A1935">
      <w:pPr>
        <w:spacing w:before="100" w:beforeAutospacing="1" w:after="100" w:afterAutospacing="1" w:line="240" w:lineRule="auto"/>
        <w:outlineLvl w:val="1"/>
        <w:rPr>
          <w:rFonts w:ascii="Tajawal" w:eastAsia="Times New Roman" w:hAnsi="Tajawal" w:cs="Tajawal"/>
          <w:color w:val="000000"/>
          <w:sz w:val="36"/>
          <w:szCs w:val="36"/>
          <w:lang w:val="en-YE"/>
        </w:rPr>
      </w:pPr>
      <w:r w:rsidRPr="005A1935">
        <w:rPr>
          <w:rFonts w:ascii="Apple Color Emoji" w:eastAsia="Times New Roman" w:hAnsi="Apple Color Emoji" w:cs="Apple Color Emoji"/>
          <w:color w:val="000000"/>
          <w:sz w:val="36"/>
          <w:szCs w:val="36"/>
          <w:lang w:val="en-YE"/>
        </w:rPr>
        <w:t>📊</w:t>
      </w:r>
      <w:r w:rsidRPr="005A1935">
        <w:rPr>
          <w:rFonts w:ascii="Tajawal" w:eastAsia="Times New Roman" w:hAnsi="Tajawal" w:cs="Tajawal" w:hint="cs"/>
          <w:color w:val="000000"/>
          <w:sz w:val="36"/>
          <w:szCs w:val="36"/>
          <w:lang w:val="en-YE"/>
        </w:rPr>
        <w:t xml:space="preserve"> Remittances: USA </w:t>
      </w:r>
      <w:r w:rsidRPr="005A1935">
        <w:rPr>
          <w:rFonts w:ascii="Times New Roman" w:eastAsia="Times New Roman" w:hAnsi="Times New Roman" w:cs="Times New Roman"/>
          <w:color w:val="000000"/>
          <w:sz w:val="36"/>
          <w:szCs w:val="36"/>
          <w:lang w:val="en-YE"/>
        </w:rPr>
        <w:t>→</w:t>
      </w:r>
      <w:r w:rsidRPr="005A1935">
        <w:rPr>
          <w:rFonts w:ascii="Tajawal" w:eastAsia="Times New Roman" w:hAnsi="Tajawal" w:cs="Tajawal" w:hint="cs"/>
          <w:color w:val="000000"/>
          <w:sz w:val="36"/>
          <w:szCs w:val="36"/>
          <w:lang w:val="en-YE"/>
        </w:rPr>
        <w:t xml:space="preserve"> Mexico Corridor (2023–2024)</w:t>
      </w:r>
    </w:p>
    <w:p w14:paraId="0602745D" w14:textId="77777777" w:rsidR="005A1935" w:rsidRPr="005A1935" w:rsidRDefault="005A1935" w:rsidP="005A1935">
      <w:pPr>
        <w:spacing w:before="100" w:beforeAutospacing="1" w:after="100" w:afterAutospacing="1" w:line="240" w:lineRule="auto"/>
        <w:outlineLvl w:val="2"/>
        <w:rPr>
          <w:rFonts w:ascii="Tajawal" w:eastAsia="Times New Roman" w:hAnsi="Tajawal" w:cs="Tajawal"/>
          <w:color w:val="000000"/>
          <w:sz w:val="27"/>
          <w:szCs w:val="27"/>
          <w:lang w:val="en-YE"/>
        </w:rPr>
      </w:pPr>
      <w:r w:rsidRPr="005A1935">
        <w:rPr>
          <w:rFonts w:ascii="Apple Color Emoji" w:eastAsia="Times New Roman" w:hAnsi="Apple Color Emoji" w:cs="Apple Color Emoji"/>
          <w:color w:val="000000"/>
          <w:sz w:val="27"/>
          <w:szCs w:val="27"/>
          <w:lang w:val="en-YE"/>
        </w:rPr>
        <w:t>📥</w:t>
      </w:r>
      <w:r w:rsidRPr="005A1935">
        <w:rPr>
          <w:rFonts w:ascii="Tajawal" w:eastAsia="Times New Roman" w:hAnsi="Tajawal" w:cs="Tajawal" w:hint="cs"/>
          <w:color w:val="000000"/>
          <w:sz w:val="27"/>
          <w:szCs w:val="27"/>
          <w:lang w:val="en-YE"/>
        </w:rPr>
        <w:t xml:space="preserve"> Flow Volumes</w:t>
      </w:r>
    </w:p>
    <w:p w14:paraId="2736CF0E" w14:textId="77777777" w:rsidR="005A1935" w:rsidRPr="005A1935" w:rsidRDefault="005A1935" w:rsidP="005A1935">
      <w:pPr>
        <w:numPr>
          <w:ilvl w:val="0"/>
          <w:numId w:val="24"/>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In 2023, the U.S. was the world’s largest remittance-sending country, supporting Mexico with over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63.3 billion in inflows—or about 95% of Mexico’s total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66.2 billion in remittances that year </w:t>
      </w:r>
      <w:hyperlink r:id="rId36" w:tgtFrame="_blank" w:history="1">
        <w:r w:rsidRPr="005A1935">
          <w:rPr>
            <w:rFonts w:ascii="Tajawal" w:eastAsia="Times New Roman" w:hAnsi="Tajawal" w:cs="Tajawal" w:hint="cs"/>
            <w:color w:val="0000FF"/>
            <w:sz w:val="24"/>
            <w:szCs w:val="24"/>
            <w:u w:val="single"/>
            <w:lang w:val="en-YE"/>
          </w:rPr>
          <w:t>AP News+1</w:t>
        </w:r>
      </w:hyperlink>
      <w:r w:rsidRPr="005A1935">
        <w:rPr>
          <w:rFonts w:ascii="Tajawal" w:eastAsia="Times New Roman" w:hAnsi="Tajawal" w:cs="Tajawal" w:hint="cs"/>
          <w:color w:val="000000"/>
          <w:sz w:val="24"/>
          <w:szCs w:val="24"/>
          <w:lang w:val="en-YE"/>
        </w:rPr>
        <w:t>.</w:t>
      </w:r>
    </w:p>
    <w:p w14:paraId="7CB2198F" w14:textId="77777777" w:rsidR="005A1935" w:rsidRPr="005A1935" w:rsidRDefault="005A1935" w:rsidP="005A1935">
      <w:pPr>
        <w:numPr>
          <w:ilvl w:val="0"/>
          <w:numId w:val="24"/>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In 2024, remittances to Mexico grew to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64.7 billion, representing a 2.3% increase from 2023 </w:t>
      </w:r>
      <w:hyperlink r:id="rId37" w:tgtFrame="_blank" w:history="1">
        <w:r w:rsidRPr="005A1935">
          <w:rPr>
            <w:rFonts w:ascii="Tajawal" w:eastAsia="Times New Roman" w:hAnsi="Tajawal" w:cs="Tajawal" w:hint="cs"/>
            <w:color w:val="0000FF"/>
            <w:sz w:val="24"/>
            <w:szCs w:val="24"/>
            <w:u w:val="single"/>
            <w:lang w:val="en-YE"/>
          </w:rPr>
          <w:t>BBVA Research</w:t>
        </w:r>
      </w:hyperlink>
      <w:hyperlink r:id="rId38" w:tgtFrame="_blank" w:history="1">
        <w:r w:rsidRPr="005A1935">
          <w:rPr>
            <w:rFonts w:ascii="Tajawal" w:eastAsia="Times New Roman" w:hAnsi="Tajawal" w:cs="Tajawal" w:hint="cs"/>
            <w:color w:val="0000FF"/>
            <w:sz w:val="24"/>
            <w:szCs w:val="24"/>
            <w:u w:val="single"/>
            <w:lang w:val="en-YE"/>
          </w:rPr>
          <w:t>World Bank Blogs</w:t>
        </w:r>
      </w:hyperlink>
      <w:r w:rsidRPr="005A1935">
        <w:rPr>
          <w:rFonts w:ascii="Tajawal" w:eastAsia="Times New Roman" w:hAnsi="Tajawal" w:cs="Tajawal" w:hint="cs"/>
          <w:color w:val="000000"/>
          <w:sz w:val="24"/>
          <w:szCs w:val="24"/>
          <w:lang w:val="en-YE"/>
        </w:rPr>
        <w:t>.</w:t>
      </w:r>
    </w:p>
    <w:p w14:paraId="578B7C1B" w14:textId="77777777" w:rsidR="005A1935" w:rsidRPr="005A1935" w:rsidRDefault="005A1935" w:rsidP="005A1935">
      <w:pPr>
        <w:numPr>
          <w:ilvl w:val="0"/>
          <w:numId w:val="24"/>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One analysis estimates that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62.5 billion of 2024’s flows originated from the U.S., representing roughly 3.5% of Mexico’s GDP </w:t>
      </w:r>
      <w:hyperlink r:id="rId39" w:tgtFrame="_blank" w:history="1">
        <w:r w:rsidRPr="005A1935">
          <w:rPr>
            <w:rFonts w:ascii="Tajawal" w:eastAsia="Times New Roman" w:hAnsi="Tajawal" w:cs="Tajawal" w:hint="cs"/>
            <w:color w:val="0000FF"/>
            <w:sz w:val="24"/>
            <w:szCs w:val="24"/>
            <w:u w:val="single"/>
            <w:lang w:val="en-YE"/>
          </w:rPr>
          <w:t>Niskanen Center</w:t>
        </w:r>
      </w:hyperlink>
      <w:r w:rsidRPr="005A1935">
        <w:rPr>
          <w:rFonts w:ascii="Tajawal" w:eastAsia="Times New Roman" w:hAnsi="Tajawal" w:cs="Tajawal" w:hint="cs"/>
          <w:color w:val="000000"/>
          <w:sz w:val="24"/>
          <w:szCs w:val="24"/>
          <w:lang w:val="en-YE"/>
        </w:rPr>
        <w:t>.</w:t>
      </w:r>
    </w:p>
    <w:p w14:paraId="1D250D13" w14:textId="77777777" w:rsidR="005A1935" w:rsidRPr="005A1935" w:rsidRDefault="005A1935" w:rsidP="005A1935">
      <w:pPr>
        <w:spacing w:before="100" w:beforeAutospacing="1" w:after="100" w:afterAutospacing="1" w:line="240" w:lineRule="auto"/>
        <w:outlineLvl w:val="2"/>
        <w:rPr>
          <w:rFonts w:ascii="Tajawal" w:eastAsia="Times New Roman" w:hAnsi="Tajawal" w:cs="Tajawal"/>
          <w:color w:val="000000"/>
          <w:sz w:val="27"/>
          <w:szCs w:val="27"/>
          <w:lang w:val="en-YE"/>
        </w:rPr>
      </w:pPr>
      <w:r w:rsidRPr="005A1935">
        <w:rPr>
          <w:rFonts w:ascii="Apple Color Emoji" w:eastAsia="Times New Roman" w:hAnsi="Apple Color Emoji" w:cs="Apple Color Emoji"/>
          <w:color w:val="000000"/>
          <w:sz w:val="27"/>
          <w:szCs w:val="27"/>
          <w:lang w:val="en-YE"/>
        </w:rPr>
        <w:t>💱</w:t>
      </w:r>
      <w:r w:rsidRPr="005A1935">
        <w:rPr>
          <w:rFonts w:ascii="Tajawal" w:eastAsia="Times New Roman" w:hAnsi="Tajawal" w:cs="Tajawal" w:hint="cs"/>
          <w:color w:val="000000"/>
          <w:sz w:val="27"/>
          <w:szCs w:val="27"/>
          <w:lang w:val="en-YE"/>
        </w:rPr>
        <w:t xml:space="preserve"> Cost of Sending: U.S. </w:t>
      </w:r>
      <w:r w:rsidRPr="005A1935">
        <w:rPr>
          <w:rFonts w:ascii="Times New Roman" w:eastAsia="Times New Roman" w:hAnsi="Times New Roman" w:cs="Times New Roman"/>
          <w:color w:val="000000"/>
          <w:sz w:val="27"/>
          <w:szCs w:val="27"/>
          <w:lang w:val="en-YE"/>
        </w:rPr>
        <w:t>→</w:t>
      </w:r>
      <w:r w:rsidRPr="005A1935">
        <w:rPr>
          <w:rFonts w:ascii="Tajawal" w:eastAsia="Times New Roman" w:hAnsi="Tajawal" w:cs="Tajawal" w:hint="cs"/>
          <w:color w:val="000000"/>
          <w:sz w:val="27"/>
          <w:szCs w:val="27"/>
          <w:lang w:val="en-YE"/>
        </w:rPr>
        <w:t xml:space="preserve"> Mexico</w:t>
      </w:r>
    </w:p>
    <w:p w14:paraId="31734FA5" w14:textId="77777777" w:rsidR="005A1935" w:rsidRPr="005A1935" w:rsidRDefault="005A1935" w:rsidP="005A1935">
      <w:p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From World Bank’s Remittance Prices Worldwide:</w:t>
      </w:r>
    </w:p>
    <w:p w14:paraId="2FC33A32" w14:textId="77777777" w:rsidR="005A1935" w:rsidRPr="005A1935" w:rsidRDefault="005A1935" w:rsidP="005A1935">
      <w:pPr>
        <w:numPr>
          <w:ilvl w:val="0"/>
          <w:numId w:val="25"/>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lastRenderedPageBreak/>
        <w:t>Overall average cost to send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200 was approximately 4.8% in Q4 2024, with a slight quarter-on-quarter rise from 4.94% in Q3 </w:t>
      </w:r>
      <w:hyperlink r:id="rId40" w:tgtFrame="_blank" w:history="1">
        <w:r w:rsidRPr="005A1935">
          <w:rPr>
            <w:rFonts w:ascii="Tajawal" w:eastAsia="Times New Roman" w:hAnsi="Tajawal" w:cs="Tajawal" w:hint="cs"/>
            <w:color w:val="0000FF"/>
            <w:sz w:val="24"/>
            <w:szCs w:val="24"/>
            <w:u w:val="single"/>
            <w:lang w:val="en-YE"/>
          </w:rPr>
          <w:t>Financial Times+11Remittance Prices Worldwide+11Remittance Prices Worldwide+11</w:t>
        </w:r>
      </w:hyperlink>
      <w:r w:rsidRPr="005A1935">
        <w:rPr>
          <w:rFonts w:ascii="Tajawal" w:eastAsia="Times New Roman" w:hAnsi="Tajawal" w:cs="Tajawal" w:hint="cs"/>
          <w:color w:val="000000"/>
          <w:sz w:val="24"/>
          <w:szCs w:val="24"/>
          <w:lang w:val="en-YE"/>
        </w:rPr>
        <w:t>.</w:t>
      </w:r>
    </w:p>
    <w:p w14:paraId="6F9C4E0D" w14:textId="77777777" w:rsidR="005A1935" w:rsidRPr="005A1935" w:rsidRDefault="005A1935" w:rsidP="005A1935">
      <w:pPr>
        <w:numPr>
          <w:ilvl w:val="0"/>
          <w:numId w:val="25"/>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Leading providers (Internet channels) include:</w:t>
      </w:r>
    </w:p>
    <w:p w14:paraId="5A6B4A46" w14:textId="77777777" w:rsidR="005A1935" w:rsidRPr="005A1935" w:rsidRDefault="005A1935" w:rsidP="005A1935">
      <w:pPr>
        <w:numPr>
          <w:ilvl w:val="1"/>
          <w:numId w:val="25"/>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Intermex: Fee 4.99%, fx margin 0.94, total cost ≈</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3.44%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6.88)</w:t>
      </w:r>
    </w:p>
    <w:p w14:paraId="610D3B84" w14:textId="77777777" w:rsidR="005A1935" w:rsidRPr="005A1935" w:rsidRDefault="005A1935" w:rsidP="005A1935">
      <w:pPr>
        <w:numPr>
          <w:ilvl w:val="1"/>
          <w:numId w:val="25"/>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Western Union (digital): Fee 4.99%, margin 1.24, total ≈</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3.74%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7.48)</w:t>
      </w:r>
    </w:p>
    <w:p w14:paraId="53B119DC" w14:textId="77777777" w:rsidR="005A1935" w:rsidRPr="005A1935" w:rsidRDefault="005A1935" w:rsidP="005A1935">
      <w:pPr>
        <w:numPr>
          <w:ilvl w:val="1"/>
          <w:numId w:val="25"/>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Other digital providers such as Wise, Remitly, Xoom reported total cost ranges between 4.08%–5.07%</w:t>
      </w:r>
      <w:hyperlink r:id="rId41" w:tgtFrame="_blank" w:history="1">
        <w:r w:rsidRPr="005A1935">
          <w:rPr>
            <w:rFonts w:ascii="Tajawal" w:eastAsia="Times New Roman" w:hAnsi="Tajawal" w:cs="Tajawal" w:hint="cs"/>
            <w:color w:val="0000FF"/>
            <w:sz w:val="24"/>
            <w:szCs w:val="24"/>
            <w:u w:val="single"/>
            <w:lang w:val="en-YE"/>
          </w:rPr>
          <w:t>Remittance Prices Worldwide</w:t>
        </w:r>
      </w:hyperlink>
      <w:hyperlink r:id="rId42" w:tgtFrame="_blank" w:history="1">
        <w:r w:rsidRPr="005A1935">
          <w:rPr>
            <w:rFonts w:ascii="Tajawal" w:eastAsia="Times New Roman" w:hAnsi="Tajawal" w:cs="Tajawal" w:hint="cs"/>
            <w:color w:val="0000FF"/>
            <w:sz w:val="24"/>
            <w:szCs w:val="24"/>
            <w:u w:val="single"/>
            <w:lang w:val="en-YE"/>
          </w:rPr>
          <w:t>Remittance Prices Worldwide</w:t>
        </w:r>
      </w:hyperlink>
      <w:r w:rsidRPr="005A1935">
        <w:rPr>
          <w:rFonts w:ascii="Tajawal" w:eastAsia="Times New Roman" w:hAnsi="Tajawal" w:cs="Tajawal" w:hint="cs"/>
          <w:color w:val="000000"/>
          <w:sz w:val="24"/>
          <w:szCs w:val="24"/>
          <w:lang w:val="en-YE"/>
        </w:rPr>
        <w:t>.</w:t>
      </w:r>
    </w:p>
    <w:p w14:paraId="4C39DDC5" w14:textId="77777777" w:rsidR="005A1935" w:rsidRPr="005A1935" w:rsidRDefault="005A1935" w:rsidP="005A1935">
      <w:pPr>
        <w:spacing w:before="100" w:beforeAutospacing="1" w:after="100" w:afterAutospacing="1" w:line="240" w:lineRule="auto"/>
        <w:outlineLvl w:val="2"/>
        <w:rPr>
          <w:rFonts w:ascii="Tajawal" w:eastAsia="Times New Roman" w:hAnsi="Tajawal" w:cs="Tajawal"/>
          <w:color w:val="000000"/>
          <w:sz w:val="27"/>
          <w:szCs w:val="27"/>
          <w:lang w:val="en-YE"/>
        </w:rPr>
      </w:pPr>
      <w:r w:rsidRPr="005A1935">
        <w:rPr>
          <w:rFonts w:ascii="Apple Color Emoji" w:eastAsia="Times New Roman" w:hAnsi="Apple Color Emoji" w:cs="Apple Color Emoji"/>
          <w:color w:val="000000"/>
          <w:sz w:val="27"/>
          <w:szCs w:val="27"/>
          <w:lang w:val="en-YE"/>
        </w:rPr>
        <w:t>⚠️</w:t>
      </w:r>
      <w:r w:rsidRPr="005A1935">
        <w:rPr>
          <w:rFonts w:ascii="Tajawal" w:eastAsia="Times New Roman" w:hAnsi="Tajawal" w:cs="Tajawal" w:hint="cs"/>
          <w:color w:val="000000"/>
          <w:sz w:val="27"/>
          <w:szCs w:val="27"/>
          <w:lang w:val="en-YE"/>
        </w:rPr>
        <w:t xml:space="preserve"> Policy &amp; Regulatory Risks</w:t>
      </w:r>
    </w:p>
    <w:p w14:paraId="62FDA807" w14:textId="77777777" w:rsidR="005A1935" w:rsidRPr="005A1935" w:rsidRDefault="005A1935" w:rsidP="005A1935">
      <w:pPr>
        <w:numPr>
          <w:ilvl w:val="0"/>
          <w:numId w:val="26"/>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A proposed U.S. remittance tax (initially 3.5–5%) could significantly impact this corridor:</w:t>
      </w:r>
    </w:p>
    <w:p w14:paraId="3824101A" w14:textId="77777777" w:rsidR="005A1935" w:rsidRPr="005A1935" w:rsidRDefault="005A1935" w:rsidP="005A1935">
      <w:pPr>
        <w:numPr>
          <w:ilvl w:val="1"/>
          <w:numId w:val="26"/>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Mexico stands to lose an estimated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2.6 billion annually under a 3.5% rate—revised downward under currently enacted lower-rate scenarios (~1%) </w:t>
      </w:r>
      <w:hyperlink r:id="rId43" w:tgtFrame="_blank" w:history="1">
        <w:r w:rsidRPr="005A1935">
          <w:rPr>
            <w:rFonts w:ascii="Tajawal" w:eastAsia="Times New Roman" w:hAnsi="Tajawal" w:cs="Tajawal" w:hint="cs"/>
            <w:color w:val="0000FF"/>
            <w:sz w:val="24"/>
            <w:szCs w:val="24"/>
            <w:u w:val="single"/>
            <w:lang w:val="en-YE"/>
          </w:rPr>
          <w:t>AP News+6Center For Global Development+6Barron's+6</w:t>
        </w:r>
      </w:hyperlink>
      <w:r w:rsidRPr="005A1935">
        <w:rPr>
          <w:rFonts w:ascii="Tajawal" w:eastAsia="Times New Roman" w:hAnsi="Tajawal" w:cs="Tajawal" w:hint="cs"/>
          <w:color w:val="000000"/>
          <w:sz w:val="24"/>
          <w:szCs w:val="24"/>
          <w:lang w:val="en-YE"/>
        </w:rPr>
        <w:t>.</w:t>
      </w:r>
    </w:p>
    <w:p w14:paraId="5A8A7D13" w14:textId="77777777" w:rsidR="005A1935" w:rsidRPr="005A1935" w:rsidRDefault="005A1935" w:rsidP="005A1935">
      <w:pPr>
        <w:numPr>
          <w:ilvl w:val="1"/>
          <w:numId w:val="26"/>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Under some proposals, sending a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350 remittance could increase from a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6 cost to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23.50, nearly four times current cost </w:t>
      </w:r>
      <w:hyperlink r:id="rId44" w:tgtFrame="_blank" w:history="1">
        <w:r w:rsidRPr="005A1935">
          <w:rPr>
            <w:rFonts w:ascii="Tajawal" w:eastAsia="Times New Roman" w:hAnsi="Tajawal" w:cs="Tajawal" w:hint="cs"/>
            <w:color w:val="0000FF"/>
            <w:sz w:val="24"/>
            <w:szCs w:val="24"/>
            <w:u w:val="single"/>
            <w:lang w:val="en-YE"/>
          </w:rPr>
          <w:t>BBVA Research+1</w:t>
        </w:r>
      </w:hyperlink>
      <w:r w:rsidRPr="005A1935">
        <w:rPr>
          <w:rFonts w:ascii="Tajawal" w:eastAsia="Times New Roman" w:hAnsi="Tajawal" w:cs="Tajawal" w:hint="cs"/>
          <w:color w:val="000000"/>
          <w:sz w:val="24"/>
          <w:szCs w:val="24"/>
          <w:lang w:val="en-YE"/>
        </w:rPr>
        <w:t>.</w:t>
      </w:r>
    </w:p>
    <w:p w14:paraId="0DED349F" w14:textId="77777777" w:rsidR="005A1935" w:rsidRPr="005A1935" w:rsidRDefault="005A1935" w:rsidP="005A1935">
      <w:pPr>
        <w:numPr>
          <w:ilvl w:val="0"/>
          <w:numId w:val="26"/>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Experts warn such policies might drive migrants to informal or cryptocurrency channels, undermining regulatory visibility and increasing systemic risk </w:t>
      </w:r>
      <w:hyperlink r:id="rId45" w:tgtFrame="_blank" w:history="1">
        <w:r w:rsidRPr="005A1935">
          <w:rPr>
            <w:rFonts w:ascii="Tajawal" w:eastAsia="Times New Roman" w:hAnsi="Tajawal" w:cs="Tajawal" w:hint="cs"/>
            <w:color w:val="0000FF"/>
            <w:sz w:val="24"/>
            <w:szCs w:val="24"/>
            <w:u w:val="single"/>
            <w:lang w:val="en-YE"/>
          </w:rPr>
          <w:t>Financial Times+2Financial Times+2</w:t>
        </w:r>
      </w:hyperlink>
      <w:r w:rsidRPr="005A1935">
        <w:rPr>
          <w:rFonts w:ascii="Tajawal" w:eastAsia="Times New Roman" w:hAnsi="Tajawal" w:cs="Tajawal" w:hint="cs"/>
          <w:color w:val="000000"/>
          <w:sz w:val="24"/>
          <w:szCs w:val="24"/>
          <w:lang w:val="en-YE"/>
        </w:rPr>
        <w:t>.</w:t>
      </w:r>
    </w:p>
    <w:p w14:paraId="60086EC2" w14:textId="77777777" w:rsidR="005A1935" w:rsidRPr="005A1935" w:rsidRDefault="00E707B4" w:rsidP="005A1935">
      <w:pPr>
        <w:spacing w:line="240" w:lineRule="auto"/>
        <w:rPr>
          <w:rFonts w:ascii="Tajawal" w:eastAsia="Times New Roman" w:hAnsi="Tajawal" w:cs="Tajawal"/>
          <w:sz w:val="24"/>
          <w:szCs w:val="24"/>
          <w:lang w:val="en-YE"/>
        </w:rPr>
      </w:pPr>
      <w:r>
        <w:rPr>
          <w:noProof/>
        </w:rPr>
      </w:r>
      <w:r>
        <w:pict w14:anchorId="31327F69">
          <v:rect id="Horizontal Line 15" o:spid="_x0000_s1028"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" fillcolor="black" stroked="f">
            <o:lock v:ext="edit" rotation="t" aspectratio="t" verticies="t" text="t" shapetype="t"/>
            <w10:anchorlock/>
          </v:rect>
        </w:pict>
      </w:r>
    </w:p>
    <w:p w14:paraId="0680139F" w14:textId="77777777" w:rsidR="00E77252" w:rsidRDefault="00E77252" w:rsidP="005A1935">
      <w:pPr>
        <w:spacing w:before="100" w:beforeAutospacing="1" w:after="100" w:afterAutospacing="1" w:line="240" w:lineRule="auto"/>
        <w:outlineLvl w:val="1"/>
        <w:rPr>
          <w:rFonts w:ascii="Apple Color Emoji" w:eastAsia="Times New Roman" w:hAnsi="Apple Color Emoji" w:cs="Apple Color Emoji"/>
          <w:color w:val="000000"/>
          <w:sz w:val="36"/>
          <w:szCs w:val="36"/>
          <w:lang w:val="en-YE"/>
        </w:rPr>
      </w:pPr>
    </w:p>
    <w:p w14:paraId="3E8DEEC1" w14:textId="01787DD5" w:rsidR="005A1935" w:rsidRPr="005A1935" w:rsidRDefault="005A1935" w:rsidP="005A1935">
      <w:pPr>
        <w:spacing w:before="100" w:beforeAutospacing="1" w:after="100" w:afterAutospacing="1" w:line="240" w:lineRule="auto"/>
        <w:outlineLvl w:val="1"/>
        <w:rPr>
          <w:rFonts w:ascii="Tajawal" w:eastAsia="Times New Roman" w:hAnsi="Tajawal" w:cs="Tajawal"/>
          <w:color w:val="000000"/>
          <w:sz w:val="36"/>
          <w:szCs w:val="36"/>
          <w:lang w:val="en-YE"/>
        </w:rPr>
      </w:pPr>
      <w:r w:rsidRPr="005A1935">
        <w:rPr>
          <w:rFonts w:ascii="Apple Color Emoji" w:eastAsia="Times New Roman" w:hAnsi="Apple Color Emoji" w:cs="Apple Color Emoji"/>
          <w:color w:val="000000"/>
          <w:sz w:val="36"/>
          <w:szCs w:val="36"/>
          <w:lang w:val="en-YE"/>
        </w:rPr>
        <w:t>🔍</w:t>
      </w:r>
      <w:r w:rsidRPr="005A1935">
        <w:rPr>
          <w:rFonts w:ascii="Tajawal" w:eastAsia="Times New Roman" w:hAnsi="Tajawal" w:cs="Tajawal" w:hint="cs"/>
          <w:color w:val="000000"/>
          <w:sz w:val="36"/>
          <w:szCs w:val="36"/>
          <w:lang w:val="en-YE"/>
        </w:rPr>
        <w:t xml:space="preserve"> Key Metrics &amp; Highlights</w:t>
      </w:r>
    </w:p>
    <w:tbl>
      <w:tblPr>
        <w:tblStyle w:val="TableGrid"/>
        <w:tblW w:w="0" w:type="auto"/>
        <w:tblLook w:val="04A0" w:firstRow="1" w:lastRow="0" w:firstColumn="1" w:lastColumn="0" w:noHBand="0" w:noVBand="1"/>
      </w:tblPr>
      <w:tblGrid>
        <w:gridCol w:w="2780"/>
        <w:gridCol w:w="6570"/>
      </w:tblGrid>
      <w:tr w:rsidR="005A1935" w:rsidRPr="005A1935" w14:paraId="6000F0D7" w14:textId="77777777" w:rsidTr="00E77252">
        <w:tc>
          <w:tcPr>
            <w:tcW w:w="0" w:type="auto"/>
            <w:hideMark/>
          </w:tcPr>
          <w:p w14:paraId="660D39A1" w14:textId="77777777" w:rsidR="005A1935" w:rsidRPr="005A1935" w:rsidRDefault="005A1935" w:rsidP="005A1935">
            <w:pPr>
              <w:spacing w:line="240" w:lineRule="auto"/>
              <w:jc w:val="center"/>
              <w:rPr>
                <w:rFonts w:ascii="Tajawal" w:eastAsia="Times New Roman" w:hAnsi="Tajawal" w:cs="Tajawal"/>
                <w:b/>
                <w:bCs/>
                <w:sz w:val="24"/>
                <w:szCs w:val="24"/>
                <w:lang w:val="en-YE"/>
              </w:rPr>
            </w:pPr>
            <w:r w:rsidRPr="005A1935">
              <w:rPr>
                <w:rFonts w:ascii="Tajawal" w:eastAsia="Times New Roman" w:hAnsi="Tajawal" w:cs="Tajawal" w:hint="cs"/>
                <w:b/>
                <w:bCs/>
                <w:sz w:val="24"/>
                <w:szCs w:val="24"/>
                <w:lang w:val="en-YE"/>
              </w:rPr>
              <w:t>Metric</w:t>
            </w:r>
          </w:p>
        </w:tc>
        <w:tc>
          <w:tcPr>
            <w:tcW w:w="0" w:type="auto"/>
            <w:hideMark/>
          </w:tcPr>
          <w:p w14:paraId="2468B553" w14:textId="77777777" w:rsidR="005A1935" w:rsidRPr="005A1935" w:rsidRDefault="005A1935" w:rsidP="005A1935">
            <w:pPr>
              <w:spacing w:line="240" w:lineRule="auto"/>
              <w:jc w:val="center"/>
              <w:rPr>
                <w:rFonts w:ascii="Tajawal" w:eastAsia="Times New Roman" w:hAnsi="Tajawal" w:cs="Tajawal"/>
                <w:b/>
                <w:bCs/>
                <w:sz w:val="24"/>
                <w:szCs w:val="24"/>
                <w:lang w:val="en-YE"/>
              </w:rPr>
            </w:pPr>
            <w:r w:rsidRPr="005A1935">
              <w:rPr>
                <w:rFonts w:ascii="Tajawal" w:eastAsia="Times New Roman" w:hAnsi="Tajawal" w:cs="Tajawal" w:hint="cs"/>
                <w:b/>
                <w:bCs/>
                <w:sz w:val="24"/>
                <w:szCs w:val="24"/>
                <w:lang w:val="en-YE"/>
              </w:rPr>
              <w:t>Estimate / Value</w:t>
            </w:r>
          </w:p>
        </w:tc>
      </w:tr>
      <w:tr w:rsidR="005A1935" w:rsidRPr="005A1935" w14:paraId="7F198BCB" w14:textId="77777777" w:rsidTr="00E77252">
        <w:tc>
          <w:tcPr>
            <w:tcW w:w="0" w:type="auto"/>
            <w:hideMark/>
          </w:tcPr>
          <w:p w14:paraId="1F245115"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Remittances to Mexico (2023)</w:t>
            </w:r>
          </w:p>
        </w:tc>
        <w:tc>
          <w:tcPr>
            <w:tcW w:w="0" w:type="auto"/>
            <w:hideMark/>
          </w:tcPr>
          <w:p w14:paraId="4F475876"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USD</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63.3</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billion </w:t>
            </w:r>
            <w:hyperlink r:id="rId46" w:tgtFrame="_blank" w:history="1">
              <w:r w:rsidRPr="005A1935">
                <w:rPr>
                  <w:rFonts w:ascii="Tajawal" w:eastAsia="Times New Roman" w:hAnsi="Tajawal" w:cs="Tajawal" w:hint="cs"/>
                  <w:color w:val="0000FF"/>
                  <w:sz w:val="24"/>
                  <w:szCs w:val="24"/>
                  <w:u w:val="single"/>
                  <w:lang w:val="en-YE"/>
                </w:rPr>
                <w:t>fnlondon.com+15CSIS+15Financial Times+15</w:t>
              </w:r>
            </w:hyperlink>
          </w:p>
        </w:tc>
      </w:tr>
      <w:tr w:rsidR="005A1935" w:rsidRPr="005A1935" w14:paraId="37878525" w14:textId="77777777" w:rsidTr="00E77252">
        <w:tc>
          <w:tcPr>
            <w:tcW w:w="0" w:type="auto"/>
            <w:hideMark/>
          </w:tcPr>
          <w:p w14:paraId="1214DE4A"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Remittances to Mexico (2024)</w:t>
            </w:r>
          </w:p>
        </w:tc>
        <w:tc>
          <w:tcPr>
            <w:tcW w:w="0" w:type="auto"/>
            <w:hideMark/>
          </w:tcPr>
          <w:p w14:paraId="45A073CE"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USD</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64.7</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billion (+2.3%) </w:t>
            </w:r>
            <w:hyperlink r:id="rId47" w:tgtFrame="_blank" w:history="1">
              <w:r w:rsidRPr="005A1935">
                <w:rPr>
                  <w:rFonts w:ascii="Tajawal" w:eastAsia="Times New Roman" w:hAnsi="Tajawal" w:cs="Tajawal" w:hint="cs"/>
                  <w:color w:val="0000FF"/>
                  <w:sz w:val="24"/>
                  <w:szCs w:val="24"/>
                  <w:u w:val="single"/>
                  <w:lang w:val="en-YE"/>
                </w:rPr>
                <w:t>BBVA Research</w:t>
              </w:r>
            </w:hyperlink>
            <w:hyperlink r:id="rId48" w:tgtFrame="_blank" w:history="1">
              <w:r w:rsidRPr="005A1935">
                <w:rPr>
                  <w:rFonts w:ascii="Tajawal" w:eastAsia="Times New Roman" w:hAnsi="Tajawal" w:cs="Tajawal" w:hint="cs"/>
                  <w:color w:val="0000FF"/>
                  <w:sz w:val="24"/>
                  <w:szCs w:val="24"/>
                  <w:u w:val="single"/>
                  <w:lang w:val="en-YE"/>
                </w:rPr>
                <w:t>World Bank Blogs</w:t>
              </w:r>
            </w:hyperlink>
          </w:p>
        </w:tc>
      </w:tr>
      <w:tr w:rsidR="005A1935" w:rsidRPr="005A1935" w14:paraId="0FEBC0C9" w14:textId="77777777" w:rsidTr="00E77252">
        <w:tc>
          <w:tcPr>
            <w:tcW w:w="0" w:type="auto"/>
            <w:hideMark/>
          </w:tcPr>
          <w:p w14:paraId="650BB814"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U.S.-origin portion (2024 est.)</w:t>
            </w:r>
          </w:p>
        </w:tc>
        <w:tc>
          <w:tcPr>
            <w:tcW w:w="0" w:type="auto"/>
            <w:hideMark/>
          </w:tcPr>
          <w:p w14:paraId="0DA1B6BA"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~USD</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62.5</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billion (~3.5% of Mexico GDP) </w:t>
            </w:r>
            <w:hyperlink r:id="rId49" w:tgtFrame="_blank" w:history="1">
              <w:r w:rsidRPr="005A1935">
                <w:rPr>
                  <w:rFonts w:ascii="Tajawal" w:eastAsia="Times New Roman" w:hAnsi="Tajawal" w:cs="Tajawal" w:hint="cs"/>
                  <w:color w:val="0000FF"/>
                  <w:sz w:val="24"/>
                  <w:szCs w:val="24"/>
                  <w:u w:val="single"/>
                  <w:lang w:val="en-YE"/>
                </w:rPr>
                <w:t>Niskanen Center</w:t>
              </w:r>
            </w:hyperlink>
          </w:p>
        </w:tc>
      </w:tr>
      <w:tr w:rsidR="005A1935" w:rsidRPr="005A1935" w14:paraId="7996DB6A" w14:textId="77777777" w:rsidTr="00E77252">
        <w:tc>
          <w:tcPr>
            <w:tcW w:w="0" w:type="auto"/>
            <w:hideMark/>
          </w:tcPr>
          <w:p w14:paraId="624F8FDF"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Average total cost (USD</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200)</w:t>
            </w:r>
          </w:p>
        </w:tc>
        <w:tc>
          <w:tcPr>
            <w:tcW w:w="0" w:type="auto"/>
            <w:hideMark/>
          </w:tcPr>
          <w:p w14:paraId="214F4856"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~4.8% (Q4 2024) </w:t>
            </w:r>
            <w:hyperlink r:id="rId50" w:tgtFrame="_blank" w:history="1">
              <w:r w:rsidRPr="005A1935">
                <w:rPr>
                  <w:rFonts w:ascii="Tajawal" w:eastAsia="Times New Roman" w:hAnsi="Tajawal" w:cs="Tajawal" w:hint="cs"/>
                  <w:color w:val="0000FF"/>
                  <w:sz w:val="24"/>
                  <w:szCs w:val="24"/>
                  <w:u w:val="single"/>
                  <w:lang w:val="en-YE"/>
                </w:rPr>
                <w:t>Remittance Prices Worldwide+1</w:t>
              </w:r>
            </w:hyperlink>
          </w:p>
        </w:tc>
      </w:tr>
      <w:tr w:rsidR="005A1935" w:rsidRPr="005A1935" w14:paraId="3BF592BA" w14:textId="77777777" w:rsidTr="00E77252">
        <w:tc>
          <w:tcPr>
            <w:tcW w:w="0" w:type="auto"/>
            <w:hideMark/>
          </w:tcPr>
          <w:p w14:paraId="2B6C58FC"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Top provider ranges (digital)</w:t>
            </w:r>
          </w:p>
        </w:tc>
        <w:tc>
          <w:tcPr>
            <w:tcW w:w="0" w:type="auto"/>
            <w:hideMark/>
          </w:tcPr>
          <w:p w14:paraId="769E8F8A" w14:textId="77777777" w:rsidR="005A1935" w:rsidRPr="005A1935" w:rsidRDefault="005A1935" w:rsidP="005A1935">
            <w:pPr>
              <w:spacing w:line="240" w:lineRule="auto"/>
              <w:rPr>
                <w:rFonts w:ascii="Tajawal" w:eastAsia="Times New Roman" w:hAnsi="Tajawal" w:cs="Tajawal"/>
                <w:sz w:val="24"/>
                <w:szCs w:val="24"/>
                <w:lang w:val="en-YE"/>
              </w:rPr>
            </w:pPr>
            <w:r w:rsidRPr="005A1935">
              <w:rPr>
                <w:rFonts w:ascii="Tajawal" w:eastAsia="Times New Roman" w:hAnsi="Tajawal" w:cs="Tajawal" w:hint="cs"/>
                <w:sz w:val="24"/>
                <w:szCs w:val="24"/>
                <w:lang w:val="en-YE"/>
              </w:rPr>
              <w:t>~3.4%–5.1% total cost (~USD</w:t>
            </w:r>
            <w:r w:rsidRPr="005A1935">
              <w:rPr>
                <w:rFonts w:ascii="Times New Roman" w:eastAsia="Times New Roman" w:hAnsi="Times New Roman" w:cs="Times New Roman"/>
                <w:sz w:val="24"/>
                <w:szCs w:val="24"/>
                <w:lang w:val="en-YE"/>
              </w:rPr>
              <w:t> </w:t>
            </w:r>
            <w:r w:rsidRPr="005A1935">
              <w:rPr>
                <w:rFonts w:ascii="Tajawal" w:eastAsia="Times New Roman" w:hAnsi="Tajawal" w:cs="Tajawal" w:hint="cs"/>
                <w:sz w:val="24"/>
                <w:szCs w:val="24"/>
                <w:lang w:val="en-YE"/>
              </w:rPr>
              <w:t>6.9–10.1) </w:t>
            </w:r>
            <w:hyperlink r:id="rId51" w:tgtFrame="_blank" w:history="1">
              <w:r w:rsidRPr="005A1935">
                <w:rPr>
                  <w:rFonts w:ascii="Tajawal" w:eastAsia="Times New Roman" w:hAnsi="Tajawal" w:cs="Tajawal" w:hint="cs"/>
                  <w:color w:val="0000FF"/>
                  <w:sz w:val="24"/>
                  <w:szCs w:val="24"/>
                  <w:u w:val="single"/>
                  <w:lang w:val="en-YE"/>
                </w:rPr>
                <w:t>Remittance Prices Worldwide</w:t>
              </w:r>
            </w:hyperlink>
          </w:p>
        </w:tc>
      </w:tr>
    </w:tbl>
    <w:p w14:paraId="570AAB22" w14:textId="77777777" w:rsidR="005A1935" w:rsidRPr="005A1935" w:rsidRDefault="00E707B4" w:rsidP="005A1935">
      <w:pPr>
        <w:spacing w:line="240" w:lineRule="auto"/>
        <w:rPr>
          <w:rFonts w:ascii="Tajawal" w:eastAsia="Times New Roman" w:hAnsi="Tajawal" w:cs="Tajawal"/>
          <w:sz w:val="24"/>
          <w:szCs w:val="24"/>
          <w:lang w:val="en-YE"/>
        </w:rPr>
      </w:pPr>
      <w:r>
        <w:rPr>
          <w:noProof/>
        </w:rPr>
      </w:r>
      <w:r>
        <w:pict w14:anchorId="0ADF92BE">
          <v:rect id="Horizontal Line 16" o:spid="_x0000_s1027"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" fillcolor="black" stroked="f">
            <o:lock v:ext="edit" rotation="t" aspectratio="t" verticies="t" text="t" shapetype="t"/>
            <w10:anchorlock/>
          </v:rect>
        </w:pict>
      </w:r>
    </w:p>
    <w:p w14:paraId="4F540EB8" w14:textId="77777777" w:rsidR="005A1935" w:rsidRPr="005A1935" w:rsidRDefault="005A1935" w:rsidP="005A1935">
      <w:pPr>
        <w:spacing w:before="100" w:beforeAutospacing="1" w:after="100" w:afterAutospacing="1" w:line="240" w:lineRule="auto"/>
        <w:outlineLvl w:val="1"/>
        <w:rPr>
          <w:rFonts w:ascii="Tajawal" w:eastAsia="Times New Roman" w:hAnsi="Tajawal" w:cs="Tajawal"/>
          <w:color w:val="000000"/>
          <w:sz w:val="36"/>
          <w:szCs w:val="36"/>
          <w:lang w:val="en-YE"/>
        </w:rPr>
      </w:pPr>
      <w:r w:rsidRPr="005A1935">
        <w:rPr>
          <w:rFonts w:ascii="Apple Color Emoji" w:eastAsia="Times New Roman" w:hAnsi="Apple Color Emoji" w:cs="Apple Color Emoji"/>
          <w:color w:val="000000"/>
          <w:sz w:val="36"/>
          <w:szCs w:val="36"/>
          <w:lang w:val="en-YE"/>
        </w:rPr>
        <w:lastRenderedPageBreak/>
        <w:t>✅</w:t>
      </w:r>
      <w:r w:rsidRPr="005A1935">
        <w:rPr>
          <w:rFonts w:ascii="Tajawal" w:eastAsia="Times New Roman" w:hAnsi="Tajawal" w:cs="Tajawal" w:hint="cs"/>
          <w:color w:val="000000"/>
          <w:sz w:val="36"/>
          <w:szCs w:val="36"/>
          <w:lang w:val="en-YE"/>
        </w:rPr>
        <w:t xml:space="preserve"> Implications for SNPL-Enabled Remittance Strategy</w:t>
      </w:r>
    </w:p>
    <w:p w14:paraId="66C57ABD" w14:textId="77777777" w:rsidR="005A1935" w:rsidRPr="005A1935" w:rsidRDefault="005A1935" w:rsidP="005A1935">
      <w:pPr>
        <w:numPr>
          <w:ilvl w:val="0"/>
          <w:numId w:val="27"/>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High-volume corridor: With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64</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billion flowing annually and ~96% sourced from the U.S., this corridor offers significant scale and relevance.</w:t>
      </w:r>
    </w:p>
    <w:p w14:paraId="410292F4" w14:textId="77777777" w:rsidR="005A1935" w:rsidRPr="005A1935" w:rsidRDefault="005A1935" w:rsidP="005A1935">
      <w:pPr>
        <w:numPr>
          <w:ilvl w:val="0"/>
          <w:numId w:val="27"/>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Fee sensitivity: Average digital costs near 4.8%; banking/mobile channels often incur higher margins. This creates an opening for SNPL-powered services to add value through lower fees, transparent pricing, and deferred payment flexibility.</w:t>
      </w:r>
    </w:p>
    <w:p w14:paraId="1ACC82DE" w14:textId="77777777" w:rsidR="005A1935" w:rsidRPr="005A1935" w:rsidRDefault="005A1935" w:rsidP="005A1935">
      <w:pPr>
        <w:numPr>
          <w:ilvl w:val="0"/>
          <w:numId w:val="27"/>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Target audience: The large Mexican diaspora—including many with temporary documentation—benefits from immediacy (for recipients) and flexibility (for senders) inherent in SNPL models.</w:t>
      </w:r>
    </w:p>
    <w:p w14:paraId="32C54B87" w14:textId="77777777" w:rsidR="005A1935" w:rsidRPr="005A1935" w:rsidRDefault="005A1935" w:rsidP="005A1935">
      <w:pPr>
        <w:numPr>
          <w:ilvl w:val="0"/>
          <w:numId w:val="27"/>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Policy risks: Proposed remittance taxes materially affect cost structures. SNPL platforms could mitigate friction by offering tax-compliant, formal digital transfer options while avoiding informal channels.</w:t>
      </w:r>
    </w:p>
    <w:p w14:paraId="55EF3B74" w14:textId="77777777" w:rsidR="005A1935" w:rsidRPr="005A1935" w:rsidRDefault="005A1935" w:rsidP="005A1935">
      <w:pPr>
        <w:numPr>
          <w:ilvl w:val="0"/>
          <w:numId w:val="27"/>
        </w:numPr>
        <w:spacing w:before="100" w:beforeAutospacing="1" w:after="100" w:afterAutospacing="1" w:line="240" w:lineRule="auto"/>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Strategic differentiation: SNPL services that integrate with digital wallets or partner fintech channels (vs. legacy MTOs) can deliver faster, cheaper, and more transparent solutions.</w:t>
      </w:r>
    </w:p>
    <w:p w14:paraId="55C8C0EF" w14:textId="77777777" w:rsidR="005A1935" w:rsidRPr="005A1935" w:rsidRDefault="00E707B4" w:rsidP="005A1935">
      <w:pPr>
        <w:spacing w:line="240" w:lineRule="auto"/>
        <w:rPr>
          <w:rFonts w:ascii="Tajawal" w:eastAsia="Times New Roman" w:hAnsi="Tajawal" w:cs="Tajawal"/>
          <w:sz w:val="24"/>
          <w:szCs w:val="24"/>
          <w:lang w:val="en-YE"/>
        </w:rPr>
      </w:pPr>
      <w:r>
        <w:rPr>
          <w:noProof/>
        </w:rPr>
      </w:r>
      <w:r>
        <w:pict w14:anchorId="7CDD6B4B">
          <v:rect id="Horizontal Line 17" o:spid="_x0000_s1026"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" fillcolor="black" stroked="f">
            <o:lock v:ext="edit" rotation="t" aspectratio="t" verticies="t" text="t" shapetype="t"/>
            <w10:anchorlock/>
          </v:rect>
        </w:pict>
      </w:r>
    </w:p>
    <w:p w14:paraId="119E6AF7" w14:textId="37826A5B" w:rsidR="005A1935" w:rsidRPr="00E77252" w:rsidRDefault="00E77252" w:rsidP="005A1935">
      <w:pPr>
        <w:spacing w:before="100" w:beforeAutospacing="1" w:after="100" w:afterAutospacing="1" w:line="240" w:lineRule="auto"/>
        <w:outlineLvl w:val="2"/>
        <w:rPr>
          <w:rFonts w:ascii="Tajawal" w:eastAsia="Times New Roman" w:hAnsi="Tajawal" w:cs="Tajawal"/>
          <w:b/>
          <w:bCs/>
          <w:color w:val="000000"/>
          <w:sz w:val="27"/>
          <w:szCs w:val="27"/>
          <w:lang w:val="en-YE"/>
        </w:rPr>
      </w:pPr>
      <w:r w:rsidRPr="00E77252">
        <w:rPr>
          <w:rFonts w:ascii="Tajawal" w:eastAsia="Times New Roman" w:hAnsi="Tajawal" w:cs="Tajawal" w:hint="cs"/>
          <w:b/>
          <w:bCs/>
          <w:color w:val="000000"/>
          <w:sz w:val="27"/>
          <w:szCs w:val="27"/>
          <w:lang w:val="en-YE"/>
        </w:rPr>
        <w:t>Facts</w:t>
      </w:r>
    </w:p>
    <w:p w14:paraId="630FF38C" w14:textId="53E36F34" w:rsidR="00E77252" w:rsidRPr="00E77252" w:rsidRDefault="00E77252" w:rsidP="00E77252">
      <w:pPr>
        <w:spacing w:before="100" w:beforeAutospacing="1" w:after="100" w:afterAutospacing="1" w:line="240" w:lineRule="auto"/>
        <w:jc w:val="both"/>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“In 2023, Europe-based migrants sent over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11–12</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billion back to Africa from the UK alone, while France accounted for nearly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9</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billion in flows, predominantly to North and West Africa. The cost of sending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200 to Sub</w:t>
      </w:r>
      <w:r w:rsidRPr="005A1935">
        <w:rPr>
          <w:rFonts w:ascii="Tajawal" w:eastAsia="Times New Roman" w:hAnsi="Tajawal" w:cs="Tajawal" w:hint="cs"/>
          <w:color w:val="000000"/>
          <w:sz w:val="24"/>
          <w:szCs w:val="24"/>
          <w:lang w:val="en-YE"/>
        </w:rPr>
        <w:noBreakHyphen/>
        <w:t>Saharan destinations averaged 7.9%—far above the global average—highlighting a major opportunity for SNPL-enabled remittance innovations that can lower transfer friction, expand access, and reduce cost.”</w:t>
      </w:r>
    </w:p>
    <w:p w14:paraId="70699A1B" w14:textId="572E0E82" w:rsidR="00E77252" w:rsidRPr="005A1935" w:rsidRDefault="00E77252" w:rsidP="00E77252">
      <w:pPr>
        <w:spacing w:before="100" w:beforeAutospacing="1" w:after="100" w:afterAutospacing="1" w:line="240" w:lineRule="auto"/>
        <w:jc w:val="both"/>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“In 2023, the United States sent over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85 billion in remittances globally—with the USA</w:t>
      </w:r>
      <w:r w:rsidRPr="005A1935">
        <w:rPr>
          <w:rFonts w:ascii="Times New Roman" w:eastAsia="Times New Roman" w:hAnsi="Times New Roman" w:cs="Times New Roman"/>
          <w:color w:val="000000"/>
          <w:sz w:val="24"/>
          <w:szCs w:val="24"/>
          <w:lang w:val="en-YE"/>
        </w:rPr>
        <w:t>→</w:t>
      </w:r>
      <w:r w:rsidRPr="005A1935">
        <w:rPr>
          <w:rFonts w:ascii="Tajawal" w:eastAsia="Times New Roman" w:hAnsi="Tajawal" w:cs="Tajawal" w:hint="cs"/>
          <w:color w:val="000000"/>
          <w:sz w:val="24"/>
          <w:szCs w:val="24"/>
          <w:lang w:val="en-YE"/>
        </w:rPr>
        <w:t>Canada corridor representing a significant share in North American flows. However, the cost of a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200 transfer from the U.S. still averages 5.5–6% depending on the channel, while digital methods can reduce costs by nearly 1%. This corridor is therefore ripe for SNPL-based remittance innovations that combine deferred payment options with lower-cost, transparent digital execution.”</w:t>
      </w:r>
    </w:p>
    <w:p w14:paraId="057A4CEB" w14:textId="77777777" w:rsidR="005A1935" w:rsidRPr="005A1935" w:rsidRDefault="005A1935" w:rsidP="00E77252">
      <w:pPr>
        <w:spacing w:before="100" w:beforeAutospacing="1" w:after="100" w:afterAutospacing="1" w:line="240" w:lineRule="auto"/>
        <w:jc w:val="both"/>
        <w:rPr>
          <w:rFonts w:ascii="Tajawal" w:eastAsia="Times New Roman" w:hAnsi="Tajawal" w:cs="Tajawal"/>
          <w:color w:val="000000"/>
          <w:sz w:val="24"/>
          <w:szCs w:val="24"/>
          <w:lang w:val="en-YE"/>
        </w:rPr>
      </w:pPr>
      <w:r w:rsidRPr="005A1935">
        <w:rPr>
          <w:rFonts w:ascii="Tajawal" w:eastAsia="Times New Roman" w:hAnsi="Tajawal" w:cs="Tajawal" w:hint="cs"/>
          <w:color w:val="000000"/>
          <w:sz w:val="24"/>
          <w:szCs w:val="24"/>
          <w:lang w:val="en-YE"/>
        </w:rPr>
        <w:t>"In 2024 alone, U.S.-based migrants sent approximately USD</w:t>
      </w:r>
      <w:r w:rsidRPr="005A1935">
        <w:rPr>
          <w:rFonts w:ascii="Times New Roman" w:eastAsia="Times New Roman" w:hAnsi="Times New Roman" w:cs="Times New Roman"/>
          <w:color w:val="000000"/>
          <w:sz w:val="24"/>
          <w:szCs w:val="24"/>
          <w:lang w:val="en-YE"/>
        </w:rPr>
        <w:t> </w:t>
      </w:r>
      <w:r w:rsidRPr="005A1935">
        <w:rPr>
          <w:rFonts w:ascii="Tajawal" w:eastAsia="Times New Roman" w:hAnsi="Tajawal" w:cs="Tajawal" w:hint="cs"/>
          <w:color w:val="000000"/>
          <w:sz w:val="24"/>
          <w:szCs w:val="24"/>
          <w:lang w:val="en-YE"/>
        </w:rPr>
        <w:t>62.5 billion to Mexico—equating to 3.5% of Mexico’s GDP. With average digital transfer costs around 4.8%, and spikes anticipated under proposed remittance taxes, this corridor highlights a clear opportunity for SNPL-based remittance solutions to deliver lower cost, flexible payment timing, and regulatory-compliant innovation."</w:t>
      </w:r>
    </w:p>
    <w:p w14:paraId="6B6F7823" w14:textId="3BE7EFB2" w:rsidR="00DC3258" w:rsidRPr="005A1935" w:rsidRDefault="00DC3258" w:rsidP="00A5325C">
      <w:pPr>
        <w:spacing w:before="100" w:beforeAutospacing="1" w:after="100" w:afterAutospacing="1" w:line="240" w:lineRule="auto"/>
        <w:rPr>
          <w:rFonts w:ascii="Tajawal" w:eastAsia="Times New Roman" w:hAnsi="Tajawal" w:cs="Tajawal"/>
          <w:color w:val="000000"/>
          <w:sz w:val="24"/>
          <w:szCs w:val="24"/>
          <w:lang w:val="en-YE"/>
        </w:rPr>
      </w:pPr>
    </w:p>
    <w:sectPr w:rsidR="00DC3258" w:rsidRPr="005A193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jawal">
    <w:panose1 w:val="00000500000000000000"/>
    <w:charset w:val="B2"/>
    <w:family w:val="auto"/>
    <w:pitch w:val="variable"/>
    <w:sig w:usb0="8000202F" w:usb1="9000204A" w:usb2="00000008" w:usb3="00000000" w:csb0="00000041"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D54F1"/>
    <w:multiLevelType w:val="multilevel"/>
    <w:tmpl w:val="DB087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0D4E2A"/>
    <w:multiLevelType w:val="multilevel"/>
    <w:tmpl w:val="B2D4F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457795"/>
    <w:multiLevelType w:val="multilevel"/>
    <w:tmpl w:val="C6EA9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EC2CCD"/>
    <w:multiLevelType w:val="multilevel"/>
    <w:tmpl w:val="C6B82E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43799D"/>
    <w:multiLevelType w:val="multilevel"/>
    <w:tmpl w:val="99827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BC18CE"/>
    <w:multiLevelType w:val="multilevel"/>
    <w:tmpl w:val="B1F49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17167B"/>
    <w:multiLevelType w:val="multilevel"/>
    <w:tmpl w:val="384AF8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784FC9"/>
    <w:multiLevelType w:val="multilevel"/>
    <w:tmpl w:val="52BAF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E06148"/>
    <w:multiLevelType w:val="multilevel"/>
    <w:tmpl w:val="ADAC1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9363ED2"/>
    <w:multiLevelType w:val="multilevel"/>
    <w:tmpl w:val="81D2C9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DC0659"/>
    <w:multiLevelType w:val="multilevel"/>
    <w:tmpl w:val="69741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412E52"/>
    <w:multiLevelType w:val="multilevel"/>
    <w:tmpl w:val="7D769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C1432D"/>
    <w:multiLevelType w:val="multilevel"/>
    <w:tmpl w:val="93DAB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0C76063"/>
    <w:multiLevelType w:val="multilevel"/>
    <w:tmpl w:val="FE688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48C737D"/>
    <w:multiLevelType w:val="multilevel"/>
    <w:tmpl w:val="9556A0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C2F6BC0"/>
    <w:multiLevelType w:val="multilevel"/>
    <w:tmpl w:val="CF14A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1F97185"/>
    <w:multiLevelType w:val="multilevel"/>
    <w:tmpl w:val="ACF83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B005F3E"/>
    <w:multiLevelType w:val="multilevel"/>
    <w:tmpl w:val="4EA6A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300DAF"/>
    <w:multiLevelType w:val="multilevel"/>
    <w:tmpl w:val="5FC8ED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FF92884"/>
    <w:multiLevelType w:val="multilevel"/>
    <w:tmpl w:val="04F446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0376C7D"/>
    <w:multiLevelType w:val="multilevel"/>
    <w:tmpl w:val="79E6E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82E05D2"/>
    <w:multiLevelType w:val="multilevel"/>
    <w:tmpl w:val="04A22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F554ECE"/>
    <w:multiLevelType w:val="multilevel"/>
    <w:tmpl w:val="ED1CC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33747F1"/>
    <w:multiLevelType w:val="multilevel"/>
    <w:tmpl w:val="79961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37D59EC"/>
    <w:multiLevelType w:val="multilevel"/>
    <w:tmpl w:val="06C4DF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52E2D93"/>
    <w:multiLevelType w:val="multilevel"/>
    <w:tmpl w:val="12C8E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5A75214"/>
    <w:multiLevelType w:val="multilevel"/>
    <w:tmpl w:val="2DF46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74095147">
    <w:abstractNumId w:val="22"/>
  </w:num>
  <w:num w:numId="2" w16cid:durableId="1042902362">
    <w:abstractNumId w:val="3"/>
  </w:num>
  <w:num w:numId="3" w16cid:durableId="1966767836">
    <w:abstractNumId w:val="16"/>
  </w:num>
  <w:num w:numId="4" w16cid:durableId="1276712911">
    <w:abstractNumId w:val="1"/>
  </w:num>
  <w:num w:numId="5" w16cid:durableId="779180442">
    <w:abstractNumId w:val="15"/>
  </w:num>
  <w:num w:numId="6" w16cid:durableId="1238633311">
    <w:abstractNumId w:val="13"/>
  </w:num>
  <w:num w:numId="7" w16cid:durableId="1175222858">
    <w:abstractNumId w:val="24"/>
  </w:num>
  <w:num w:numId="8" w16cid:durableId="1892230802">
    <w:abstractNumId w:val="14"/>
  </w:num>
  <w:num w:numId="9" w16cid:durableId="1450398318">
    <w:abstractNumId w:val="17"/>
  </w:num>
  <w:num w:numId="10" w16cid:durableId="1757246366">
    <w:abstractNumId w:val="2"/>
  </w:num>
  <w:num w:numId="11" w16cid:durableId="509830959">
    <w:abstractNumId w:val="4"/>
  </w:num>
  <w:num w:numId="12" w16cid:durableId="207642987">
    <w:abstractNumId w:val="12"/>
  </w:num>
  <w:num w:numId="13" w16cid:durableId="490684532">
    <w:abstractNumId w:val="5"/>
  </w:num>
  <w:num w:numId="14" w16cid:durableId="1523737973">
    <w:abstractNumId w:val="26"/>
  </w:num>
  <w:num w:numId="15" w16cid:durableId="1907648501">
    <w:abstractNumId w:val="23"/>
  </w:num>
  <w:num w:numId="16" w16cid:durableId="1476872730">
    <w:abstractNumId w:val="7"/>
  </w:num>
  <w:num w:numId="17" w16cid:durableId="806164604">
    <w:abstractNumId w:val="6"/>
  </w:num>
  <w:num w:numId="18" w16cid:durableId="1010261342">
    <w:abstractNumId w:val="25"/>
  </w:num>
  <w:num w:numId="19" w16cid:durableId="814102810">
    <w:abstractNumId w:val="10"/>
  </w:num>
  <w:num w:numId="20" w16cid:durableId="10576177">
    <w:abstractNumId w:val="21"/>
  </w:num>
  <w:num w:numId="21" w16cid:durableId="515114323">
    <w:abstractNumId w:val="11"/>
  </w:num>
  <w:num w:numId="22" w16cid:durableId="9962790">
    <w:abstractNumId w:val="0"/>
  </w:num>
  <w:num w:numId="23" w16cid:durableId="671642090">
    <w:abstractNumId w:val="9"/>
  </w:num>
  <w:num w:numId="24" w16cid:durableId="190533342">
    <w:abstractNumId w:val="20"/>
  </w:num>
  <w:num w:numId="25" w16cid:durableId="2031489831">
    <w:abstractNumId w:val="18"/>
  </w:num>
  <w:num w:numId="26" w16cid:durableId="658507948">
    <w:abstractNumId w:val="19"/>
  </w:num>
  <w:num w:numId="27" w16cid:durableId="138139395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25C"/>
    <w:rsid w:val="003F701C"/>
    <w:rsid w:val="00452F69"/>
    <w:rsid w:val="005A1935"/>
    <w:rsid w:val="00724A6F"/>
    <w:rsid w:val="00800141"/>
    <w:rsid w:val="00946DA4"/>
    <w:rsid w:val="00A5325C"/>
    <w:rsid w:val="00DC3258"/>
    <w:rsid w:val="00E5198A"/>
    <w:rsid w:val="00E6017A"/>
    <w:rsid w:val="00E707B4"/>
    <w:rsid w:val="00E77252"/>
  </w:rsids>
  <m:mathPr>
    <m:mathFont m:val="Cambria Math"/>
    <m:brkBin m:val="before"/>
    <m:brkBinSub m:val="--"/>
    <m:smallFrac m:val="0"/>
    <m:dispDef/>
    <m:lMargin m:val="0"/>
    <m:rMargin m:val="0"/>
    <m:defJc m:val="centerGroup"/>
    <m:wrapIndent m:val="1440"/>
    <m:intLim m:val="subSup"/>
    <m:naryLim m:val="undOvr"/>
  </m:mathPr>
  <w:themeFontLang w:val="en-YE" w:bidi="ar-SA"/>
  <w:clrSchemeMapping w:bg1="light1" w:t1="dark1" w:bg2="light2" w:t2="dark2" w:accent1="accent1" w:accent2="accent2" w:accent3="accent3" w:accent4="accent4" w:accent5="accent5" w:accent6="accent6" w:hyperlink="hyperlink" w:followedHyperlink="followedHyperlink"/>
  <w:shapeDefaults>
    <o:shapedefaults v:ext="edit" spidmax="1043"/>
    <o:shapelayout v:ext="edit">
      <o:idmap v:ext="edit" data="1"/>
    </o:shapelayout>
  </w:shapeDefaults>
  <w:decimalSymbol w:val="."/>
  <w:listSeparator w:val=","/>
  <w14:docId w14:val="262BE017"/>
  <w15:chartTrackingRefBased/>
  <w15:docId w15:val="{7C69E622-FC62-2C43-937D-EDD7F1D81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jawal" w:eastAsia="Arial" w:hAnsi="Tajawal" w:cs="Tajawal"/>
        <w:kern w:val="2"/>
        <w:sz w:val="24"/>
        <w:szCs w:val="24"/>
        <w:lang w:val="en-Y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701C"/>
    <w:pPr>
      <w:spacing w:line="276" w:lineRule="auto"/>
    </w:pPr>
    <w:rPr>
      <w:rFonts w:ascii="Arial" w:hAnsi="Arial" w:cs="Arial"/>
      <w:kern w:val="0"/>
      <w:sz w:val="22"/>
      <w:szCs w:val="22"/>
      <w:lang w:val="en"/>
      <w14:ligatures w14:val="none"/>
    </w:rPr>
  </w:style>
  <w:style w:type="paragraph" w:styleId="Heading1">
    <w:name w:val="heading 1"/>
    <w:basedOn w:val="Normal"/>
    <w:next w:val="Normal"/>
    <w:link w:val="Heading1Char"/>
    <w:uiPriority w:val="9"/>
    <w:qFormat/>
    <w:rsid w:val="003F70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F70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F701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701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unhideWhenUsed/>
    <w:qFormat/>
    <w:rsid w:val="003F701C"/>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unhideWhenUsed/>
    <w:qFormat/>
    <w:rsid w:val="003F701C"/>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F701C"/>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F701C"/>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F701C"/>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701C"/>
    <w:rPr>
      <w:rFonts w:asciiTheme="majorHAnsi" w:eastAsiaTheme="majorEastAsia" w:hAnsiTheme="majorHAnsi" w:cstheme="majorBidi"/>
      <w:color w:val="0F4761" w:themeColor="accent1" w:themeShade="BF"/>
      <w:kern w:val="0"/>
      <w:sz w:val="40"/>
      <w:szCs w:val="40"/>
      <w:lang w:val="en"/>
      <w14:ligatures w14:val="none"/>
    </w:rPr>
  </w:style>
  <w:style w:type="character" w:customStyle="1" w:styleId="Heading2Char">
    <w:name w:val="Heading 2 Char"/>
    <w:basedOn w:val="DefaultParagraphFont"/>
    <w:link w:val="Heading2"/>
    <w:uiPriority w:val="9"/>
    <w:rsid w:val="003F701C"/>
    <w:rPr>
      <w:rFonts w:asciiTheme="majorHAnsi" w:eastAsiaTheme="majorEastAsia" w:hAnsiTheme="majorHAnsi" w:cstheme="majorBidi"/>
      <w:color w:val="0F4761" w:themeColor="accent1" w:themeShade="BF"/>
      <w:kern w:val="0"/>
      <w:sz w:val="32"/>
      <w:szCs w:val="32"/>
      <w:lang w:val="en"/>
      <w14:ligatures w14:val="none"/>
    </w:rPr>
  </w:style>
  <w:style w:type="character" w:customStyle="1" w:styleId="Heading3Char">
    <w:name w:val="Heading 3 Char"/>
    <w:basedOn w:val="DefaultParagraphFont"/>
    <w:link w:val="Heading3"/>
    <w:uiPriority w:val="9"/>
    <w:rsid w:val="003F701C"/>
    <w:rPr>
      <w:rFonts w:asciiTheme="minorHAnsi" w:eastAsiaTheme="majorEastAsia" w:hAnsiTheme="minorHAnsi" w:cstheme="majorBidi"/>
      <w:color w:val="0F4761" w:themeColor="accent1" w:themeShade="BF"/>
      <w:kern w:val="0"/>
      <w:sz w:val="28"/>
      <w:szCs w:val="28"/>
      <w:lang w:val="en"/>
      <w14:ligatures w14:val="none"/>
    </w:rPr>
  </w:style>
  <w:style w:type="character" w:customStyle="1" w:styleId="Heading4Char">
    <w:name w:val="Heading 4 Char"/>
    <w:basedOn w:val="DefaultParagraphFont"/>
    <w:link w:val="Heading4"/>
    <w:uiPriority w:val="9"/>
    <w:semiHidden/>
    <w:rsid w:val="003F701C"/>
    <w:rPr>
      <w:rFonts w:asciiTheme="minorHAnsi" w:eastAsiaTheme="majorEastAsia" w:hAnsiTheme="minorHAnsi" w:cstheme="majorBidi"/>
      <w:i/>
      <w:iCs/>
      <w:color w:val="0F4761" w:themeColor="accent1" w:themeShade="BF"/>
      <w:kern w:val="0"/>
      <w:sz w:val="22"/>
      <w:szCs w:val="22"/>
      <w:lang w:val="en"/>
      <w14:ligatures w14:val="none"/>
    </w:rPr>
  </w:style>
  <w:style w:type="character" w:customStyle="1" w:styleId="Heading5Char">
    <w:name w:val="Heading 5 Char"/>
    <w:basedOn w:val="DefaultParagraphFont"/>
    <w:link w:val="Heading5"/>
    <w:uiPriority w:val="9"/>
    <w:rsid w:val="003F701C"/>
    <w:rPr>
      <w:rFonts w:asciiTheme="minorHAnsi" w:eastAsiaTheme="majorEastAsia" w:hAnsiTheme="minorHAnsi" w:cstheme="majorBidi"/>
      <w:color w:val="0F4761" w:themeColor="accent1" w:themeShade="BF"/>
      <w:kern w:val="0"/>
      <w:sz w:val="22"/>
      <w:szCs w:val="22"/>
      <w:lang w:val="en"/>
      <w14:ligatures w14:val="none"/>
    </w:rPr>
  </w:style>
  <w:style w:type="character" w:customStyle="1" w:styleId="Heading6Char">
    <w:name w:val="Heading 6 Char"/>
    <w:basedOn w:val="DefaultParagraphFont"/>
    <w:link w:val="Heading6"/>
    <w:uiPriority w:val="9"/>
    <w:rsid w:val="003F701C"/>
    <w:rPr>
      <w:rFonts w:asciiTheme="minorHAnsi" w:eastAsiaTheme="majorEastAsia" w:hAnsiTheme="minorHAnsi" w:cstheme="majorBidi"/>
      <w:i/>
      <w:iCs/>
      <w:color w:val="595959" w:themeColor="text1" w:themeTint="A6"/>
      <w:kern w:val="0"/>
      <w:sz w:val="22"/>
      <w:szCs w:val="22"/>
      <w:lang w:val="en"/>
      <w14:ligatures w14:val="none"/>
    </w:rPr>
  </w:style>
  <w:style w:type="character" w:customStyle="1" w:styleId="Heading7Char">
    <w:name w:val="Heading 7 Char"/>
    <w:basedOn w:val="DefaultParagraphFont"/>
    <w:link w:val="Heading7"/>
    <w:uiPriority w:val="9"/>
    <w:semiHidden/>
    <w:rsid w:val="003F701C"/>
    <w:rPr>
      <w:rFonts w:asciiTheme="minorHAnsi" w:eastAsiaTheme="majorEastAsia" w:hAnsiTheme="minorHAnsi" w:cstheme="majorBidi"/>
      <w:color w:val="595959" w:themeColor="text1" w:themeTint="A6"/>
      <w:kern w:val="0"/>
      <w:sz w:val="22"/>
      <w:szCs w:val="22"/>
      <w:lang w:val="en"/>
      <w14:ligatures w14:val="none"/>
    </w:rPr>
  </w:style>
  <w:style w:type="character" w:customStyle="1" w:styleId="Heading8Char">
    <w:name w:val="Heading 8 Char"/>
    <w:basedOn w:val="DefaultParagraphFont"/>
    <w:link w:val="Heading8"/>
    <w:uiPriority w:val="9"/>
    <w:semiHidden/>
    <w:rsid w:val="003F701C"/>
    <w:rPr>
      <w:rFonts w:asciiTheme="minorHAnsi" w:eastAsiaTheme="majorEastAsia" w:hAnsiTheme="minorHAnsi" w:cstheme="majorBidi"/>
      <w:i/>
      <w:iCs/>
      <w:color w:val="272727" w:themeColor="text1" w:themeTint="D8"/>
      <w:kern w:val="0"/>
      <w:sz w:val="22"/>
      <w:szCs w:val="22"/>
      <w:lang w:val="en"/>
      <w14:ligatures w14:val="none"/>
    </w:rPr>
  </w:style>
  <w:style w:type="character" w:customStyle="1" w:styleId="Heading9Char">
    <w:name w:val="Heading 9 Char"/>
    <w:basedOn w:val="DefaultParagraphFont"/>
    <w:link w:val="Heading9"/>
    <w:uiPriority w:val="9"/>
    <w:semiHidden/>
    <w:rsid w:val="003F701C"/>
    <w:rPr>
      <w:rFonts w:asciiTheme="minorHAnsi" w:eastAsiaTheme="majorEastAsia" w:hAnsiTheme="minorHAnsi" w:cstheme="majorBidi"/>
      <w:color w:val="272727" w:themeColor="text1" w:themeTint="D8"/>
      <w:kern w:val="0"/>
      <w:sz w:val="22"/>
      <w:szCs w:val="22"/>
      <w:lang w:val="en"/>
      <w14:ligatures w14:val="none"/>
    </w:rPr>
  </w:style>
  <w:style w:type="paragraph" w:styleId="Title">
    <w:name w:val="Title"/>
    <w:basedOn w:val="Normal"/>
    <w:next w:val="Normal"/>
    <w:link w:val="TitleChar"/>
    <w:uiPriority w:val="10"/>
    <w:qFormat/>
    <w:rsid w:val="003F701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701C"/>
    <w:rPr>
      <w:rFonts w:asciiTheme="majorHAnsi" w:eastAsiaTheme="majorEastAsia" w:hAnsiTheme="majorHAnsi" w:cstheme="majorBidi"/>
      <w:spacing w:val="-10"/>
      <w:kern w:val="28"/>
      <w:sz w:val="56"/>
      <w:szCs w:val="56"/>
      <w:lang w:val="en"/>
      <w14:ligatures w14:val="none"/>
    </w:rPr>
  </w:style>
  <w:style w:type="paragraph" w:styleId="Subtitle">
    <w:name w:val="Subtitle"/>
    <w:basedOn w:val="Normal"/>
    <w:next w:val="Normal"/>
    <w:link w:val="SubtitleChar"/>
    <w:uiPriority w:val="11"/>
    <w:qFormat/>
    <w:rsid w:val="003F701C"/>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701C"/>
    <w:rPr>
      <w:rFonts w:asciiTheme="minorHAnsi" w:eastAsiaTheme="majorEastAsia" w:hAnsiTheme="minorHAnsi" w:cstheme="majorBidi"/>
      <w:color w:val="595959" w:themeColor="text1" w:themeTint="A6"/>
      <w:spacing w:val="15"/>
      <w:kern w:val="0"/>
      <w:sz w:val="28"/>
      <w:szCs w:val="28"/>
      <w:lang w:val="en"/>
      <w14:ligatures w14:val="none"/>
    </w:rPr>
  </w:style>
  <w:style w:type="paragraph" w:styleId="ListParagraph">
    <w:name w:val="List Paragraph"/>
    <w:basedOn w:val="Normal"/>
    <w:link w:val="ListParagraphChar"/>
    <w:uiPriority w:val="34"/>
    <w:qFormat/>
    <w:rsid w:val="003F701C"/>
    <w:pPr>
      <w:ind w:left="720"/>
      <w:contextualSpacing/>
    </w:pPr>
  </w:style>
  <w:style w:type="character" w:customStyle="1" w:styleId="ListParagraphChar">
    <w:name w:val="List Paragraph Char"/>
    <w:link w:val="ListParagraph"/>
    <w:uiPriority w:val="34"/>
    <w:locked/>
    <w:rsid w:val="003F701C"/>
    <w:rPr>
      <w:rFonts w:ascii="Arial" w:eastAsia="Arial" w:hAnsi="Arial" w:cs="Arial"/>
      <w:kern w:val="0"/>
      <w:sz w:val="22"/>
      <w:szCs w:val="22"/>
      <w:lang w:val="en"/>
      <w14:ligatures w14:val="none"/>
    </w:rPr>
  </w:style>
  <w:style w:type="paragraph" w:styleId="Quote">
    <w:name w:val="Quote"/>
    <w:basedOn w:val="Normal"/>
    <w:next w:val="Normal"/>
    <w:link w:val="QuoteChar"/>
    <w:uiPriority w:val="29"/>
    <w:qFormat/>
    <w:rsid w:val="003F701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F701C"/>
    <w:rPr>
      <w:rFonts w:ascii="Arial" w:eastAsia="Arial" w:hAnsi="Arial" w:cs="Arial"/>
      <w:i/>
      <w:iCs/>
      <w:color w:val="404040" w:themeColor="text1" w:themeTint="BF"/>
      <w:kern w:val="0"/>
      <w:sz w:val="22"/>
      <w:szCs w:val="22"/>
      <w:lang w:val="en"/>
      <w14:ligatures w14:val="none"/>
    </w:rPr>
  </w:style>
  <w:style w:type="paragraph" w:styleId="IntenseQuote">
    <w:name w:val="Intense Quote"/>
    <w:basedOn w:val="Normal"/>
    <w:next w:val="Normal"/>
    <w:link w:val="IntenseQuoteChar"/>
    <w:uiPriority w:val="30"/>
    <w:qFormat/>
    <w:rsid w:val="003F70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701C"/>
    <w:rPr>
      <w:rFonts w:ascii="Arial" w:eastAsia="Arial" w:hAnsi="Arial" w:cs="Arial"/>
      <w:i/>
      <w:iCs/>
      <w:color w:val="0F4761" w:themeColor="accent1" w:themeShade="BF"/>
      <w:kern w:val="0"/>
      <w:sz w:val="22"/>
      <w:szCs w:val="22"/>
      <w:lang w:val="en"/>
      <w14:ligatures w14:val="none"/>
    </w:rPr>
  </w:style>
  <w:style w:type="character" w:styleId="IntenseEmphasis">
    <w:name w:val="Intense Emphasis"/>
    <w:basedOn w:val="DefaultParagraphFont"/>
    <w:uiPriority w:val="21"/>
    <w:qFormat/>
    <w:rsid w:val="003F701C"/>
    <w:rPr>
      <w:i/>
      <w:iCs/>
      <w:color w:val="0F4761" w:themeColor="accent1" w:themeShade="BF"/>
    </w:rPr>
  </w:style>
  <w:style w:type="character" w:styleId="IntenseReference">
    <w:name w:val="Intense Reference"/>
    <w:basedOn w:val="DefaultParagraphFont"/>
    <w:uiPriority w:val="32"/>
    <w:qFormat/>
    <w:rsid w:val="003F701C"/>
    <w:rPr>
      <w:b/>
      <w:bCs/>
      <w:smallCaps/>
      <w:color w:val="0F4761" w:themeColor="accent1" w:themeShade="BF"/>
      <w:spacing w:val="5"/>
    </w:rPr>
  </w:style>
  <w:style w:type="paragraph" w:styleId="NormalWeb">
    <w:name w:val="Normal (Web)"/>
    <w:basedOn w:val="Normal"/>
    <w:uiPriority w:val="99"/>
    <w:semiHidden/>
    <w:unhideWhenUsed/>
    <w:rsid w:val="00A5325C"/>
    <w:pPr>
      <w:spacing w:before="100" w:beforeAutospacing="1" w:after="100" w:afterAutospacing="1" w:line="240" w:lineRule="auto"/>
    </w:pPr>
    <w:rPr>
      <w:rFonts w:ascii="Times New Roman" w:eastAsia="Times New Roman" w:hAnsi="Times New Roman" w:cs="Times New Roman"/>
      <w:sz w:val="24"/>
      <w:szCs w:val="24"/>
      <w:lang w:val="en-YE"/>
    </w:rPr>
  </w:style>
  <w:style w:type="character" w:styleId="Strong">
    <w:name w:val="Strong"/>
    <w:basedOn w:val="DefaultParagraphFont"/>
    <w:uiPriority w:val="22"/>
    <w:qFormat/>
    <w:rsid w:val="00A5325C"/>
    <w:rPr>
      <w:b/>
      <w:bCs/>
    </w:rPr>
  </w:style>
  <w:style w:type="character" w:customStyle="1" w:styleId="apple-converted-space">
    <w:name w:val="apple-converted-space"/>
    <w:basedOn w:val="DefaultParagraphFont"/>
    <w:rsid w:val="00A5325C"/>
  </w:style>
  <w:style w:type="character" w:customStyle="1" w:styleId="relative">
    <w:name w:val="relative"/>
    <w:basedOn w:val="DefaultParagraphFont"/>
    <w:rsid w:val="00A5325C"/>
  </w:style>
  <w:style w:type="character" w:customStyle="1" w:styleId="ms-1">
    <w:name w:val="ms-1"/>
    <w:basedOn w:val="DefaultParagraphFont"/>
    <w:rsid w:val="00A5325C"/>
  </w:style>
  <w:style w:type="character" w:customStyle="1" w:styleId="max-w-full">
    <w:name w:val="max-w-full"/>
    <w:basedOn w:val="DefaultParagraphFont"/>
    <w:rsid w:val="00A5325C"/>
  </w:style>
  <w:style w:type="character" w:customStyle="1" w:styleId="-me-1">
    <w:name w:val="-me-1"/>
    <w:basedOn w:val="DefaultParagraphFont"/>
    <w:rsid w:val="00A5325C"/>
  </w:style>
  <w:style w:type="character" w:styleId="Emphasis">
    <w:name w:val="Emphasis"/>
    <w:basedOn w:val="DefaultParagraphFont"/>
    <w:uiPriority w:val="20"/>
    <w:qFormat/>
    <w:rsid w:val="00A5325C"/>
    <w:rPr>
      <w:i/>
      <w:iCs/>
    </w:rPr>
  </w:style>
  <w:style w:type="table" w:styleId="TableGrid">
    <w:name w:val="Table Grid"/>
    <w:basedOn w:val="TableNormal"/>
    <w:uiPriority w:val="39"/>
    <w:rsid w:val="00E772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zh.wikipedia.org/wiki/%E5%8D%B0%E5%BA%A6%E7%9A%84%E5%83%91%E5%8C%AF?utm_source=chatgpt.com" TargetMode="External"/><Relationship Id="rId18" Type="http://schemas.openxmlformats.org/officeDocument/2006/relationships/hyperlink" Target="https://www.worldbank.org/en/news/press-release/2023/12/18/remittance-flows-grow-2023-slower-pace-migration-development-brief?utm_source=chatgpt.com" TargetMode="External"/><Relationship Id="rId26" Type="http://schemas.openxmlformats.org/officeDocument/2006/relationships/hyperlink" Target="https://www.gpfi.org/sites/default/files/NEW%202024%20Update%20to%20Leaders%20on%20Progress%20Towards%20the%20G20%20Remittance%20Target.pdf?utm_source=chatgpt.com" TargetMode="External"/><Relationship Id="rId39" Type="http://schemas.openxmlformats.org/officeDocument/2006/relationships/hyperlink" Target="https://www.niskanencenter.org/the-1-u-s-remittance-levy-impacts-on-mexico-india/?utm_source=chatgpt.com" TargetMode="External"/><Relationship Id="rId21" Type="http://schemas.openxmlformats.org/officeDocument/2006/relationships/hyperlink" Target="https://migrationobservatory.ox.ac.uk/resources/briefings/migrant-remittances-to-and-from-the-uk/?utm_source=chatgpt.com" TargetMode="External"/><Relationship Id="rId34" Type="http://schemas.openxmlformats.org/officeDocument/2006/relationships/hyperlink" Target="https://remittanceprices.worldbank.org/sites/default/files/rpw_main_report_and_annex_q124_final.pdf?utm_source=chatgpt.com" TargetMode="External"/><Relationship Id="rId42" Type="http://schemas.openxmlformats.org/officeDocument/2006/relationships/hyperlink" Target="https://remittanceprices.worldbank.org/corridor/United-States/Mexico?utm_source=chatgpt.com" TargetMode="External"/><Relationship Id="rId47" Type="http://schemas.openxmlformats.org/officeDocument/2006/relationships/hyperlink" Target="https://www.bbvaresearch.com/en/publicaciones/mexico-record-in-remittances-64745-million-dollars-in-2024-and-dark-spots-for-2025/?utm_source=chatgpt.com" TargetMode="External"/><Relationship Id="rId50" Type="http://schemas.openxmlformats.org/officeDocument/2006/relationships/hyperlink" Target="https://remittanceprices.worldbank.org/corridor/United-States/Mexico?utm_source=chatgpt.com" TargetMode="External"/><Relationship Id="rId7" Type="http://schemas.openxmlformats.org/officeDocument/2006/relationships/hyperlink" Target="https://www.migrationdataportal.org/themes/remittances-overview?utm_source=chatgpt.com" TargetMode="External"/><Relationship Id="rId2" Type="http://schemas.openxmlformats.org/officeDocument/2006/relationships/numbering" Target="numbering.xml"/><Relationship Id="rId16" Type="http://schemas.openxmlformats.org/officeDocument/2006/relationships/hyperlink" Target="https://worldmigrationreport.iom.int/what-we-do/world-migration-report-2024-chapter-3/asia?utm_source=chatgpt.com" TargetMode="External"/><Relationship Id="rId29" Type="http://schemas.openxmlformats.org/officeDocument/2006/relationships/hyperlink" Target="https://usa.visa.com/partner-with-us/visa-consulting-analytics/economic-insights/demographics-and-technology-to-shape-future-of-global-remittances.html?utm_source=chatgpt.com" TargetMode="External"/><Relationship Id="rId11" Type="http://schemas.openxmlformats.org/officeDocument/2006/relationships/hyperlink" Target="https://tradingeconomics.com/egypt/remittances?utm_source=chatgpt.com" TargetMode="External"/><Relationship Id="rId24" Type="http://schemas.openxmlformats.org/officeDocument/2006/relationships/hyperlink" Target="https://en.wikipedia.org/wiki/Economy_of_Africa?utm_source=chatgpt.com" TargetMode="External"/><Relationship Id="rId32" Type="http://schemas.openxmlformats.org/officeDocument/2006/relationships/hyperlink" Target="https://cidpnsi.ca/remittances-explorer/?utm_source=chatgpt.com" TargetMode="External"/><Relationship Id="rId37" Type="http://schemas.openxmlformats.org/officeDocument/2006/relationships/hyperlink" Target="https://www.bbvaresearch.com/en/publicaciones/mexico-record-in-remittances-64745-million-dollars-in-2024-and-dark-spots-for-2025/?utm_source=chatgpt.com" TargetMode="External"/><Relationship Id="rId40" Type="http://schemas.openxmlformats.org/officeDocument/2006/relationships/hyperlink" Target="https://remittanceprices.worldbank.org/corridor/United-States/Mexico?utm_source=chatgpt.com" TargetMode="External"/><Relationship Id="rId45" Type="http://schemas.openxmlformats.org/officeDocument/2006/relationships/hyperlink" Target="https://www.ft.com/content/ca062c4f-072f-483b-acda-f0109bb92d2a?utm_source=chatgpt.com" TargetMode="External"/><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hyperlink" Target="https://en.wikipedia.org/wiki/Economy_of_Egypt?utm_source=chatgpt.com" TargetMode="External"/><Relationship Id="rId19" Type="http://schemas.openxmlformats.org/officeDocument/2006/relationships/hyperlink" Target="https://www.unescap.org/sites/default/d8files/event-documents/Remittances_in_NCA_ENG_20241126.pdf?utm_source=chatgpt.com" TargetMode="External"/><Relationship Id="rId31" Type="http://schemas.openxmlformats.org/officeDocument/2006/relationships/hyperlink" Target="https://www.gpfi.org/sites/default/files/NEW%202024%20Update%20to%20Leaders%20on%20Progress%20Towards%20the%20G20%20Remittance%20Target.pdf?utm_source=chatgpt.com" TargetMode="External"/><Relationship Id="rId44" Type="http://schemas.openxmlformats.org/officeDocument/2006/relationships/hyperlink" Target="https://www.bbvaresearch.com/en/publicaciones/mexico-a-remittance-tax-would-be-unfair-regressive-and-have-limited-impact/?utm_source=chatgpt.com"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worldbank.org/en/news/press-release/2024/06/26/remittances-slowed-in-2023-expected-to-grow-faster-in-2024?utm_source=chatgpt.com" TargetMode="External"/><Relationship Id="rId14" Type="http://schemas.openxmlformats.org/officeDocument/2006/relationships/hyperlink" Target="https://en.wikipedia.org/wiki/Remittances_to_Bangladesh?utm_source=chatgpt.com" TargetMode="External"/><Relationship Id="rId22" Type="http://schemas.openxmlformats.org/officeDocument/2006/relationships/hyperlink" Target="https://en.wikipedia.org/wiki/Remittance?utm_source=chatgpt.com" TargetMode="External"/><Relationship Id="rId27" Type="http://schemas.openxmlformats.org/officeDocument/2006/relationships/hyperlink" Target="https://cidpnsi.ca/remittances-explorer/?utm_source=chatgpt.com" TargetMode="External"/><Relationship Id="rId30" Type="http://schemas.openxmlformats.org/officeDocument/2006/relationships/hyperlink" Target="https://remittanceprices.worldbank.org/sites/default/files/rpw_main_report_and_annex_q124_final.pdf?utm_source=chatgpt.com" TargetMode="External"/><Relationship Id="rId35" Type="http://schemas.openxmlformats.org/officeDocument/2006/relationships/hyperlink" Target="https://usa.visa.com/partner-with-us/visa-consulting-analytics/economic-insights/demographics-and-technology-to-shape-future-of-global-remittances.html?utm_source=chatgpt.com" TargetMode="External"/><Relationship Id="rId43" Type="http://schemas.openxmlformats.org/officeDocument/2006/relationships/hyperlink" Target="https://www.cgdev.org/blog/which-countries-will-be-hit-hardest-us-remittance-tax?utm_source=chatgpt.com" TargetMode="External"/><Relationship Id="rId48" Type="http://schemas.openxmlformats.org/officeDocument/2006/relationships/hyperlink" Target="https://blogs.worldbank.org/en/peoplemove/in-2024--remittance-flows-to-low--and-middle-income-countries-ar?utm_source=chatgpt.com" TargetMode="External"/><Relationship Id="rId8" Type="http://schemas.openxmlformats.org/officeDocument/2006/relationships/hyperlink" Target="https://www.macroglobal.co.uk/wp-content/uploads/2024/11/CBP-outlook-ebook-2024.pdf?utm_source=chatgpt.com" TargetMode="External"/><Relationship Id="rId51" Type="http://schemas.openxmlformats.org/officeDocument/2006/relationships/hyperlink" Target="https://remittanceprices.worldbank.org/corridor/United-States/Mexico?utm_source=chatgpt.com" TargetMode="External"/><Relationship Id="rId3" Type="http://schemas.openxmlformats.org/officeDocument/2006/relationships/styles" Target="styles.xml"/><Relationship Id="rId12" Type="http://schemas.openxmlformats.org/officeDocument/2006/relationships/hyperlink" Target="https://en.wikipedia.org/wiki/Remittances_to_India?utm_source=chatgpt.com" TargetMode="External"/><Relationship Id="rId17" Type="http://schemas.openxmlformats.org/officeDocument/2006/relationships/hyperlink" Target="https://www.unescap.org/sites/default/d8files/event-documents/Remittances_in_NCA_ENG_20241126.pdf?utm_source=chatgpt.com" TargetMode="External"/><Relationship Id="rId25" Type="http://schemas.openxmlformats.org/officeDocument/2006/relationships/hyperlink" Target="https://www.un.org/osaa/news/reducing-remittance-costs-africa-path-resilient-financing-development?utm_source=chatgpt.com" TargetMode="External"/><Relationship Id="rId33" Type="http://schemas.openxmlformats.org/officeDocument/2006/relationships/hyperlink" Target="https://www.gpfi.org/sites/gpfi/files/sites/default/files/Canada.pdf?utm_source=chatgpt.com" TargetMode="External"/><Relationship Id="rId38" Type="http://schemas.openxmlformats.org/officeDocument/2006/relationships/hyperlink" Target="https://blogs.worldbank.org/en/peoplemove/in-2024--remittance-flows-to-low--and-middle-income-countries-ar?utm_source=chatgpt.com" TargetMode="External"/><Relationship Id="rId46" Type="http://schemas.openxmlformats.org/officeDocument/2006/relationships/hyperlink" Target="https://www.csis.org/analysis/understanding-impact-remittances-mexicos-economy-and-safeguarding-their-future-impact?utm_source=chatgpt.com" TargetMode="External"/><Relationship Id="rId20" Type="http://schemas.openxmlformats.org/officeDocument/2006/relationships/hyperlink" Target="https://remitscope.org/africa/?utm_source=chatgpt.com" TargetMode="External"/><Relationship Id="rId41" Type="http://schemas.openxmlformats.org/officeDocument/2006/relationships/hyperlink" Target="https://remittanceprices.worldbank.org/sites/default/files/rpw_main_report_and_annex_q423_final.pdf?utm_source=chatgpt.com" TargetMode="External"/><Relationship Id="rId1" Type="http://schemas.openxmlformats.org/officeDocument/2006/relationships/customXml" Target="../customXml/item1.xml"/><Relationship Id="rId6" Type="http://schemas.openxmlformats.org/officeDocument/2006/relationships/hyperlink" Target="https://www.macroglobal.co.uk/wp-content/uploads/2024/11/CBP-outlook-ebook-2024.pdf?utm_source=chatgpt.com" TargetMode="External"/><Relationship Id="rId15" Type="http://schemas.openxmlformats.org/officeDocument/2006/relationships/hyperlink" Target="https://en.wikipedia.org/wiki/Remittance?utm_source=chatgpt.com" TargetMode="External"/><Relationship Id="rId23" Type="http://schemas.openxmlformats.org/officeDocument/2006/relationships/hyperlink" Target="https://www.worldbank.org/en/news/press-release/2023/12/18/remittance-flows-grow-2023-slower-pace-migration-development-brief?utm_source=chatgpt.com" TargetMode="External"/><Relationship Id="rId28" Type="http://schemas.openxmlformats.org/officeDocument/2006/relationships/hyperlink" Target="https://remittanceprices.worldbank.org/sites/default/files/rpw_main_report_and_annex_q324.pdf?utm_source=chatgpt.com" TargetMode="External"/><Relationship Id="rId36" Type="http://schemas.openxmlformats.org/officeDocument/2006/relationships/hyperlink" Target="https://apnews.com/article/47ce7c2b4a0fcf47be96b0ef2ad0739d?utm_source=chatgpt.com" TargetMode="External"/><Relationship Id="rId49" Type="http://schemas.openxmlformats.org/officeDocument/2006/relationships/hyperlink" Target="https://www.niskanencenter.org/the-1-u-s-remittance-levy-impacts-on-mexico-india/?utm_source=chatgp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1B7F66-6B02-FD43-B154-A58CA37CD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3195</Words>
  <Characters>20199</Characters>
  <Application>Microsoft Office Word</Application>
  <DocSecurity>0</DocSecurity>
  <Lines>504</Lines>
  <Paragraphs>296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Gabr</dc:creator>
  <cp:keywords/>
  <dc:description/>
  <cp:lastModifiedBy>Khalid Gabr</cp:lastModifiedBy>
  <cp:revision>2</cp:revision>
  <dcterms:created xsi:type="dcterms:W3CDTF">2026-05-20T09:39:00Z</dcterms:created>
  <dcterms:modified xsi:type="dcterms:W3CDTF">2026-05-20T09:39:00Z</dcterms:modified>
</cp:coreProperties>
</file>