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BC25E" w14:textId="77777777" w:rsidR="00140334" w:rsidRPr="009A0155" w:rsidRDefault="00140334" w:rsidP="00C23619">
      <w:pPr>
        <w:pStyle w:val="Title"/>
        <w:rPr>
          <w:rFonts w:ascii="Tajawal" w:hAnsi="Tajawal" w:cs="Tajawal"/>
          <w:sz w:val="32"/>
          <w:szCs w:val="32"/>
          <w:lang w:val="en-US"/>
        </w:rPr>
      </w:pPr>
    </w:p>
    <w:p w14:paraId="3123F52F" w14:textId="56D3630D" w:rsidR="00654740" w:rsidRPr="009A0155" w:rsidRDefault="00654740" w:rsidP="00A42DB8">
      <w:pPr>
        <w:pStyle w:val="Title"/>
        <w:jc w:val="center"/>
        <w:rPr>
          <w:rFonts w:ascii="Tajawal" w:hAnsi="Tajawal" w:cs="Tajawal"/>
          <w:sz w:val="32"/>
          <w:szCs w:val="32"/>
        </w:rPr>
      </w:pPr>
      <w:r w:rsidRPr="009A0155">
        <w:rPr>
          <w:rFonts w:ascii="Tajawal" w:hAnsi="Tajawal" w:cs="Tajawal" w:hint="cs"/>
          <w:sz w:val="32"/>
          <w:szCs w:val="32"/>
        </w:rPr>
        <w:t xml:space="preserve">Cross Boarder Money Transfers </w:t>
      </w:r>
      <w:r w:rsidR="00913B03" w:rsidRPr="009A0155">
        <w:rPr>
          <w:rFonts w:ascii="Tajawal" w:hAnsi="Tajawal" w:cs="Tajawal" w:hint="cs"/>
          <w:sz w:val="32"/>
          <w:szCs w:val="32"/>
        </w:rPr>
        <w:t>Send Now, Pay Later</w:t>
      </w:r>
    </w:p>
    <w:p w14:paraId="1B3A121B" w14:textId="610367F3" w:rsidR="00654740" w:rsidRPr="00401C50" w:rsidRDefault="00913B03" w:rsidP="00401C50">
      <w:pPr>
        <w:pStyle w:val="Heading1"/>
        <w:rPr>
          <w:rFonts w:ascii="Tajawal" w:hAnsi="Tajawal" w:cs="Tajawal"/>
          <w:b/>
          <w:bCs/>
          <w:rtl/>
        </w:rPr>
      </w:pPr>
      <w:r w:rsidRPr="00401C50">
        <w:rPr>
          <w:rFonts w:ascii="Tajawal" w:hAnsi="Tajawal" w:cs="Tajawal" w:hint="cs"/>
        </w:rPr>
        <w:t>Revolutionizing</w:t>
      </w:r>
      <w:r w:rsidRPr="009A0155">
        <w:rPr>
          <w:rFonts w:ascii="Tajawal" w:hAnsi="Tajawal" w:cs="Tajawal" w:hint="cs"/>
          <w:b/>
          <w:bCs/>
        </w:rPr>
        <w:t xml:space="preserve"> </w:t>
      </w:r>
      <w:r w:rsidRPr="00401C50">
        <w:rPr>
          <w:rFonts w:ascii="Tajawal" w:hAnsi="Tajawal" w:cs="Tajawal" w:hint="cs"/>
        </w:rPr>
        <w:t>Modern Transactions</w:t>
      </w:r>
      <w:r w:rsidR="00654740" w:rsidRPr="00401C50">
        <w:rPr>
          <w:rFonts w:ascii="Tajawal" w:hAnsi="Tajawal" w:cs="Tajawal" w:hint="cs"/>
        </w:rPr>
        <w:t xml:space="preserve"> for expatriates</w:t>
      </w:r>
    </w:p>
    <w:p w14:paraId="0C0F2102" w14:textId="77777777" w:rsidR="003E4A6B" w:rsidRPr="009A0155" w:rsidRDefault="00913B03" w:rsidP="003E4A6B">
      <w:pPr>
        <w:jc w:val="both"/>
        <w:rPr>
          <w:rFonts w:ascii="Tajawal" w:hAnsi="Tajawal" w:cs="Tajawal"/>
        </w:rPr>
      </w:pPr>
      <w:r w:rsidRPr="009A0155">
        <w:rPr>
          <w:rFonts w:ascii="Tajawal" w:hAnsi="Tajawal" w:cs="Tajawal" w:hint="cs"/>
        </w:rPr>
        <w:t>Send Now, Pay Later (SNPL) is a transformative financial concept that bridges the growing demand for instant transactions with the flexibility of deferred payment systems.</w:t>
      </w:r>
    </w:p>
    <w:p w14:paraId="12896BBA" w14:textId="77777777" w:rsidR="00654740" w:rsidRPr="009A0155" w:rsidRDefault="00654740" w:rsidP="003E4A6B">
      <w:pPr>
        <w:jc w:val="both"/>
        <w:rPr>
          <w:rFonts w:ascii="Tajawal" w:hAnsi="Tajawal" w:cs="Tajawal"/>
        </w:rPr>
      </w:pPr>
    </w:p>
    <w:p w14:paraId="4960357B" w14:textId="77777777" w:rsidR="00654740" w:rsidRPr="009A0155" w:rsidRDefault="00654740" w:rsidP="00654740">
      <w:pPr>
        <w:jc w:val="both"/>
        <w:rPr>
          <w:rFonts w:ascii="Tajawal" w:hAnsi="Tajawal" w:cs="Tajawal"/>
        </w:rPr>
      </w:pPr>
      <w:r w:rsidRPr="009A0155">
        <w:rPr>
          <w:rFonts w:ascii="Tajawal" w:hAnsi="Tajawal" w:cs="Tajawal" w:hint="cs"/>
        </w:rPr>
        <w:t>The "Send Now, Pay Later" model is an offshoot of the broader "Buy Now, Pay Later" (BNPL) framework, which has successfully disrupted traditional credit and loan systems in recent years. SNPL extends the application of deferred payments to services like logistics and digital transactions, making it particularly relevant for businesses aiming to streamline operations and boost customer retention.</w:t>
      </w:r>
    </w:p>
    <w:p w14:paraId="1D2B7B2A" w14:textId="77777777" w:rsidR="003E4A6B" w:rsidRPr="009A0155" w:rsidRDefault="003E4A6B" w:rsidP="003E4A6B">
      <w:pPr>
        <w:jc w:val="both"/>
        <w:rPr>
          <w:rFonts w:ascii="Tajawal" w:hAnsi="Tajawal" w:cs="Tajawal"/>
        </w:rPr>
      </w:pPr>
    </w:p>
    <w:p w14:paraId="7D4CD156" w14:textId="3B71F0B1" w:rsidR="00913B03" w:rsidRPr="009A0155" w:rsidRDefault="00913B03" w:rsidP="003E4A6B">
      <w:pPr>
        <w:jc w:val="both"/>
        <w:rPr>
          <w:rFonts w:ascii="Tajawal" w:hAnsi="Tajawal" w:cs="Tajawal"/>
        </w:rPr>
      </w:pPr>
      <w:r w:rsidRPr="009A0155">
        <w:rPr>
          <w:rFonts w:ascii="Tajawal" w:hAnsi="Tajawal" w:cs="Tajawal" w:hint="cs"/>
        </w:rPr>
        <w:t>It has gained momentum in both personal finance and business sectors, reshaping the traditional paradigms of buying and selling. This method offers a seamless integration of immediacy and convenience and is particularly appealing to the digital-first generation.</w:t>
      </w:r>
    </w:p>
    <w:p w14:paraId="0707D998" w14:textId="77777777" w:rsidR="00913B03" w:rsidRPr="00401C50" w:rsidRDefault="00913B03" w:rsidP="00913B03">
      <w:pPr>
        <w:pStyle w:val="Heading1"/>
        <w:rPr>
          <w:rFonts w:ascii="Tajawal" w:hAnsi="Tajawal" w:cs="Tajawal"/>
        </w:rPr>
      </w:pPr>
      <w:r w:rsidRPr="00401C50">
        <w:rPr>
          <w:rFonts w:ascii="Tajawal" w:hAnsi="Tajawal" w:cs="Tajawal" w:hint="cs"/>
        </w:rPr>
        <w:t>The Concept of Send Now, Pay Later</w:t>
      </w:r>
    </w:p>
    <w:p w14:paraId="084B7BC2" w14:textId="48239380" w:rsidR="003E4A6B" w:rsidRPr="009A0155" w:rsidRDefault="00913B03" w:rsidP="00654740">
      <w:pPr>
        <w:jc w:val="both"/>
        <w:rPr>
          <w:rFonts w:ascii="Tajawal" w:hAnsi="Tajawal" w:cs="Tajawal"/>
        </w:rPr>
      </w:pPr>
      <w:r w:rsidRPr="009A0155">
        <w:rPr>
          <w:rFonts w:ascii="Tajawal" w:hAnsi="Tajawal" w:cs="Tajawal" w:hint="cs"/>
        </w:rPr>
        <w:t>Send Now, Pay Later is essentially a payment model designed to facilitate immediate delivery of goods or services while allowing the payment to be deferred to a later date. Unlike traditional credit systems that require lengthy approval processes or interest-based lending, SNPL is crafted for efficiency, inclusivity, and ease of use.</w:t>
      </w:r>
    </w:p>
    <w:p w14:paraId="49FADE71" w14:textId="77777777" w:rsidR="00654740" w:rsidRPr="009A0155" w:rsidRDefault="00654740" w:rsidP="00654740">
      <w:pPr>
        <w:jc w:val="both"/>
        <w:rPr>
          <w:rFonts w:ascii="Tajawal" w:hAnsi="Tajawal" w:cs="Tajawal"/>
        </w:rPr>
      </w:pPr>
    </w:p>
    <w:p w14:paraId="6FEA4F56" w14:textId="77777777" w:rsidR="00913B03" w:rsidRPr="009A0155" w:rsidRDefault="00913B03" w:rsidP="003E4A6B">
      <w:pPr>
        <w:jc w:val="both"/>
        <w:rPr>
          <w:rFonts w:ascii="Tajawal" w:hAnsi="Tajawal" w:cs="Tajawal"/>
        </w:rPr>
      </w:pPr>
      <w:r w:rsidRPr="009A0155">
        <w:rPr>
          <w:rFonts w:ascii="Tajawal" w:hAnsi="Tajawal" w:cs="Tajawal" w:hint="cs"/>
        </w:rPr>
        <w:t>The principle rests on trust and technology, enabling buyers to commit to purchases without upfront payment. Sellers, on the other hand, benefit from the immediate fulfillment of orders, boosting customer satisfaction and loyalty.</w:t>
      </w:r>
    </w:p>
    <w:p w14:paraId="338B6482" w14:textId="77777777" w:rsidR="00654740" w:rsidRPr="009A0155" w:rsidRDefault="00654740" w:rsidP="003E4A6B">
      <w:pPr>
        <w:jc w:val="both"/>
        <w:rPr>
          <w:rFonts w:ascii="Tajawal" w:hAnsi="Tajawal" w:cs="Tajawal"/>
        </w:rPr>
      </w:pPr>
    </w:p>
    <w:p w14:paraId="3F3068AB" w14:textId="77777777" w:rsidR="00654740" w:rsidRPr="009A0155" w:rsidRDefault="00654740" w:rsidP="003E4A6B">
      <w:pPr>
        <w:jc w:val="both"/>
        <w:rPr>
          <w:rFonts w:ascii="Tajawal" w:hAnsi="Tajawal" w:cs="Tajawal"/>
        </w:rPr>
      </w:pPr>
    </w:p>
    <w:p w14:paraId="1EE5B7CF" w14:textId="77777777" w:rsidR="00654740" w:rsidRPr="009A0155" w:rsidRDefault="00654740" w:rsidP="003E4A6B">
      <w:pPr>
        <w:jc w:val="both"/>
        <w:rPr>
          <w:rFonts w:ascii="Tajawal" w:hAnsi="Tajawal" w:cs="Tajawal"/>
        </w:rPr>
      </w:pPr>
    </w:p>
    <w:p w14:paraId="5F3432F4" w14:textId="77777777" w:rsidR="00654740" w:rsidRPr="009A0155" w:rsidRDefault="00654740" w:rsidP="003E4A6B">
      <w:pPr>
        <w:jc w:val="both"/>
        <w:rPr>
          <w:rFonts w:ascii="Tajawal" w:hAnsi="Tajawal" w:cs="Tajawal"/>
        </w:rPr>
      </w:pPr>
    </w:p>
    <w:p w14:paraId="68A2C521" w14:textId="77777777" w:rsidR="00654740" w:rsidRPr="009A0155" w:rsidRDefault="00654740" w:rsidP="003E4A6B">
      <w:pPr>
        <w:jc w:val="both"/>
        <w:rPr>
          <w:rFonts w:ascii="Tajawal" w:hAnsi="Tajawal" w:cs="Tajawal"/>
        </w:rPr>
      </w:pPr>
    </w:p>
    <w:p w14:paraId="66A658C9" w14:textId="77777777" w:rsidR="00654740" w:rsidRPr="009A0155" w:rsidRDefault="00654740" w:rsidP="003E4A6B">
      <w:pPr>
        <w:jc w:val="both"/>
        <w:rPr>
          <w:rFonts w:ascii="Tajawal" w:hAnsi="Tajawal" w:cs="Tajawal"/>
        </w:rPr>
      </w:pPr>
    </w:p>
    <w:p w14:paraId="6B3B2D6F" w14:textId="77777777" w:rsidR="00654740" w:rsidRPr="009A0155" w:rsidRDefault="00654740" w:rsidP="003E4A6B">
      <w:pPr>
        <w:jc w:val="both"/>
        <w:rPr>
          <w:rFonts w:ascii="Tajawal" w:hAnsi="Tajawal" w:cs="Tajawal"/>
        </w:rPr>
      </w:pPr>
    </w:p>
    <w:p w14:paraId="18822999" w14:textId="77777777" w:rsidR="00654740" w:rsidRPr="009A0155" w:rsidRDefault="00654740" w:rsidP="003E4A6B">
      <w:pPr>
        <w:jc w:val="both"/>
        <w:rPr>
          <w:rFonts w:ascii="Tajawal" w:hAnsi="Tajawal" w:cs="Tajawal"/>
        </w:rPr>
      </w:pPr>
    </w:p>
    <w:p w14:paraId="2DDC64F1" w14:textId="77777777" w:rsidR="00654740" w:rsidRPr="009A0155" w:rsidRDefault="00654740" w:rsidP="003E4A6B">
      <w:pPr>
        <w:jc w:val="both"/>
        <w:rPr>
          <w:rFonts w:ascii="Tajawal" w:hAnsi="Tajawal" w:cs="Tajawal"/>
        </w:rPr>
      </w:pPr>
    </w:p>
    <w:p w14:paraId="0AF29300" w14:textId="29700C60" w:rsidR="00913B03" w:rsidRPr="009A0155" w:rsidRDefault="00913B03" w:rsidP="00913B03">
      <w:pPr>
        <w:pStyle w:val="Heading1"/>
        <w:rPr>
          <w:rFonts w:ascii="Tajawal" w:hAnsi="Tajawal" w:cs="Tajawal"/>
        </w:rPr>
      </w:pPr>
      <w:r w:rsidRPr="009A0155">
        <w:rPr>
          <w:rFonts w:ascii="Tajawal" w:hAnsi="Tajawal" w:cs="Tajawal" w:hint="cs"/>
        </w:rPr>
        <w:lastRenderedPageBreak/>
        <w:t xml:space="preserve">The </w:t>
      </w:r>
      <w:r w:rsidR="00654740" w:rsidRPr="009A0155">
        <w:rPr>
          <w:rFonts w:ascii="Tajawal" w:hAnsi="Tajawal" w:cs="Tajawal" w:hint="cs"/>
        </w:rPr>
        <w:t>implementation</w:t>
      </w:r>
      <w:r w:rsidRPr="009A0155">
        <w:rPr>
          <w:rFonts w:ascii="Tajawal" w:hAnsi="Tajawal" w:cs="Tajawal" w:hint="cs"/>
        </w:rPr>
        <w:t xml:space="preserve"> of SNPL</w:t>
      </w:r>
      <w:r w:rsidR="00654740" w:rsidRPr="009A0155">
        <w:rPr>
          <w:rFonts w:ascii="Tajawal" w:hAnsi="Tajawal" w:cs="Tajawal" w:hint="cs"/>
        </w:rPr>
        <w:t xml:space="preserve"> for Person – to- Person payment</w:t>
      </w:r>
    </w:p>
    <w:p w14:paraId="16FE2B1D" w14:textId="77777777" w:rsidR="00913B03" w:rsidRPr="009A0155" w:rsidRDefault="00913B03" w:rsidP="003E4A6B">
      <w:pPr>
        <w:jc w:val="both"/>
        <w:rPr>
          <w:rFonts w:ascii="Tajawal" w:hAnsi="Tajawal" w:cs="Tajawal"/>
        </w:rPr>
      </w:pPr>
      <w:r w:rsidRPr="009A0155">
        <w:rPr>
          <w:rFonts w:ascii="Tajawal" w:hAnsi="Tajawal" w:cs="Tajawal" w:hint="cs"/>
        </w:rPr>
        <w:t>SNPL is a relatively modern innovation but draws roots from older financial systems like layaway plans and credit cards. However, its digital transformation has elevated it to new heights. Early pioneers of such systems leveraged online platforms to enable users to split payments or defer them entirely, catering to a growing e-commerce market.</w:t>
      </w:r>
    </w:p>
    <w:p w14:paraId="2E77E8C5" w14:textId="77777777" w:rsidR="003E4A6B" w:rsidRPr="009A0155" w:rsidRDefault="003E4A6B" w:rsidP="003E4A6B">
      <w:pPr>
        <w:jc w:val="both"/>
        <w:rPr>
          <w:rFonts w:ascii="Tajawal" w:hAnsi="Tajawal" w:cs="Tajawal"/>
        </w:rPr>
      </w:pPr>
    </w:p>
    <w:p w14:paraId="2FC8AF48" w14:textId="0FB02499" w:rsidR="00913B03" w:rsidRPr="009A0155" w:rsidRDefault="00913B03" w:rsidP="003E4A6B">
      <w:pPr>
        <w:jc w:val="both"/>
        <w:rPr>
          <w:rFonts w:ascii="Tajawal" w:hAnsi="Tajawal" w:cs="Tajawal"/>
        </w:rPr>
      </w:pPr>
      <w:r w:rsidRPr="009A0155">
        <w:rPr>
          <w:rFonts w:ascii="Tajawal" w:hAnsi="Tajawal" w:cs="Tajawal" w:hint="cs"/>
        </w:rPr>
        <w:t>With the rise of fintech companies, SNPL became mainstream. These companies introduced user-friendly interfaces, robust security measures, and flexible repayment plans, distinguishing SNPL from conventional loans and other rigid financial arrangements.</w:t>
      </w:r>
      <w:r w:rsidR="00C06D03" w:rsidRPr="009A0155">
        <w:rPr>
          <w:rFonts w:ascii="Tajawal" w:hAnsi="Tajawal" w:cs="Tajawal" w:hint="cs"/>
        </w:rPr>
        <w:t xml:space="preserve"> However, most of SNPL services are targeting buyers and sellers (C2B or B2B).</w:t>
      </w:r>
    </w:p>
    <w:p w14:paraId="79900911" w14:textId="77777777" w:rsidR="00C06D03" w:rsidRPr="009A0155" w:rsidRDefault="00C06D03" w:rsidP="003E4A6B">
      <w:pPr>
        <w:jc w:val="both"/>
        <w:rPr>
          <w:rFonts w:ascii="Tajawal" w:hAnsi="Tajawal" w:cs="Tajawal"/>
        </w:rPr>
      </w:pPr>
    </w:p>
    <w:p w14:paraId="3B376B2A" w14:textId="64CD717D" w:rsidR="00C06D03" w:rsidRPr="009A0155" w:rsidRDefault="00C06D03" w:rsidP="003E4A6B">
      <w:pPr>
        <w:jc w:val="both"/>
        <w:rPr>
          <w:rFonts w:ascii="Tajawal" w:hAnsi="Tajawal" w:cs="Tajawal"/>
          <w:lang w:val="en-US"/>
        </w:rPr>
      </w:pPr>
      <w:r w:rsidRPr="009A0155">
        <w:rPr>
          <w:rFonts w:ascii="Tajawal" w:hAnsi="Tajawal" w:cs="Tajawal" w:hint="cs"/>
        </w:rPr>
        <w:t>While the number of expatriates and immigrants</w:t>
      </w:r>
      <w:r w:rsidRPr="009A0155">
        <w:rPr>
          <w:rFonts w:ascii="Tajawal" w:hAnsi="Tajawal" w:cs="Tajawal" w:hint="cs"/>
          <w:rtl/>
        </w:rPr>
        <w:t xml:space="preserve"> </w:t>
      </w:r>
      <w:r w:rsidRPr="009A0155">
        <w:rPr>
          <w:rFonts w:ascii="Tajawal" w:hAnsi="Tajawal" w:cs="Tajawal" w:hint="cs"/>
          <w:lang w:val="en-US"/>
        </w:rPr>
        <w:t xml:space="preserve">is highly increasing Y2Y, SNPL service might create a new landscape for the P2P cross-border payments, by helping many people around the world to send money back to their families </w:t>
      </w:r>
      <w:r w:rsidR="007D0C40" w:rsidRPr="009A0155">
        <w:rPr>
          <w:rFonts w:ascii="Tajawal" w:hAnsi="Tajawal" w:cs="Tajawal" w:hint="cs"/>
          <w:lang w:val="en-US"/>
        </w:rPr>
        <w:t>at any time with a deferred payment model.</w:t>
      </w:r>
    </w:p>
    <w:p w14:paraId="50EE0328" w14:textId="77777777" w:rsidR="00D67AFF" w:rsidRPr="009A0155" w:rsidRDefault="00D67AFF" w:rsidP="003E4A6B">
      <w:pPr>
        <w:jc w:val="both"/>
        <w:rPr>
          <w:rFonts w:ascii="Tajawal" w:hAnsi="Tajawal" w:cs="Tajawal"/>
          <w:lang w:val="en-US"/>
        </w:rPr>
      </w:pPr>
    </w:p>
    <w:p w14:paraId="40ED6787" w14:textId="2489C801" w:rsidR="00C06D03" w:rsidRPr="00401C50" w:rsidRDefault="00D67AFF" w:rsidP="00401C50">
      <w:pPr>
        <w:jc w:val="both"/>
        <w:rPr>
          <w:rFonts w:ascii="Tajawal" w:eastAsiaTheme="majorEastAsia" w:hAnsi="Tajawal" w:cs="Tajawal"/>
          <w:color w:val="0F4761" w:themeColor="accent1" w:themeShade="BF"/>
          <w:sz w:val="40"/>
          <w:szCs w:val="40"/>
        </w:rPr>
      </w:pPr>
      <w:r w:rsidRPr="00401C50">
        <w:rPr>
          <w:rFonts w:ascii="Tajawal" w:eastAsiaTheme="majorEastAsia" w:hAnsi="Tajawal" w:cs="Tajawal" w:hint="cs"/>
          <w:color w:val="0F4761" w:themeColor="accent1" w:themeShade="BF"/>
          <w:sz w:val="40"/>
          <w:szCs w:val="40"/>
        </w:rPr>
        <w:t>Why SNPL</w:t>
      </w:r>
    </w:p>
    <w:p w14:paraId="07310352" w14:textId="77777777" w:rsidR="00B50C68" w:rsidRPr="00A5325C" w:rsidRDefault="00B50C68" w:rsidP="00B50C68">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SNPL represents the next generation of flexible financial solutions, enabling users to send money without immediate full payment.</w:t>
      </w:r>
    </w:p>
    <w:p w14:paraId="786DA954" w14:textId="54CA87C2" w:rsidR="00C06D03" w:rsidRPr="00401C50" w:rsidRDefault="00B50C68" w:rsidP="00401C50">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With over 281 million international migrants worldwide and remittances exceeding $860 billion annually (World Bank 2024), the global remittance market is ripe for transformation. SNPL can bridge the gap between instant money transfer and cash-flow flexibility by allowing users to send funds immediately while deferring their own payment obligations.</w:t>
      </w:r>
    </w:p>
    <w:p w14:paraId="0B36C748" w14:textId="77777777" w:rsidR="00B50C68" w:rsidRPr="00A5325C" w:rsidRDefault="00B50C68" w:rsidP="00B50C68">
      <w:p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Integrating SNPL into cross-border P2P payments can disrupt the remittance ecosystem through:</w:t>
      </w:r>
    </w:p>
    <w:p w14:paraId="4F87C2B6" w14:textId="77777777" w:rsidR="00B50C68" w:rsidRPr="00A5325C" w:rsidRDefault="00B50C68" w:rsidP="00B50C68">
      <w:pPr>
        <w:numPr>
          <w:ilvl w:val="0"/>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Deferred Payment Flexibility</w:t>
      </w:r>
    </w:p>
    <w:p w14:paraId="2645AABE" w14:textId="77777777" w:rsidR="00B50C68" w:rsidRPr="00A5325C" w:rsidRDefault="00B50C68" w:rsidP="00B50C68">
      <w:pPr>
        <w:numPr>
          <w:ilvl w:val="1"/>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Senders can initiate transfers immediately and pay in installments later.</w:t>
      </w:r>
    </w:p>
    <w:p w14:paraId="59B400B5" w14:textId="77777777" w:rsidR="00B50C68" w:rsidRPr="00A5325C" w:rsidRDefault="00B50C68" w:rsidP="00B50C68">
      <w:pPr>
        <w:numPr>
          <w:ilvl w:val="1"/>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Recipients receive funds instantly, boosting household financial stability.</w:t>
      </w:r>
    </w:p>
    <w:p w14:paraId="698BF6BE" w14:textId="77777777" w:rsidR="00B50C68" w:rsidRPr="00A5325C" w:rsidRDefault="00B50C68" w:rsidP="00B50C68">
      <w:pPr>
        <w:numPr>
          <w:ilvl w:val="0"/>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Increased Accessibility</w:t>
      </w:r>
    </w:p>
    <w:p w14:paraId="3985D2CE" w14:textId="77777777" w:rsidR="00B50C68" w:rsidRPr="00A5325C" w:rsidRDefault="00B50C68" w:rsidP="00B50C68">
      <w:pPr>
        <w:numPr>
          <w:ilvl w:val="1"/>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SNPL integrates seamlessly with mobile wallets and digital remittance apps, reducing dependency on banks.</w:t>
      </w:r>
    </w:p>
    <w:p w14:paraId="5DF5055F" w14:textId="77777777" w:rsidR="00B50C68" w:rsidRPr="00A5325C" w:rsidRDefault="00B50C68" w:rsidP="00B50C68">
      <w:pPr>
        <w:numPr>
          <w:ilvl w:val="1"/>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Supports unbanked and underbanked communities in emerging markets.</w:t>
      </w:r>
    </w:p>
    <w:p w14:paraId="1BDBF3DE" w14:textId="77777777" w:rsidR="00B50C68" w:rsidRPr="00A5325C" w:rsidRDefault="00B50C68" w:rsidP="00B50C68">
      <w:pPr>
        <w:numPr>
          <w:ilvl w:val="0"/>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Lower Transaction Costs</w:t>
      </w:r>
    </w:p>
    <w:p w14:paraId="602743C5" w14:textId="77777777" w:rsidR="00B50C68" w:rsidRPr="00A5325C" w:rsidRDefault="00B50C68" w:rsidP="00B50C68">
      <w:pPr>
        <w:numPr>
          <w:ilvl w:val="1"/>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Digital-first SNPL platforms can use fintech infrastructure to cut transfer fees below traditional Money Transfer Operators (MTOs).</w:t>
      </w:r>
    </w:p>
    <w:p w14:paraId="5D5FB847" w14:textId="77777777" w:rsidR="00B50C68" w:rsidRPr="00A5325C" w:rsidRDefault="00B50C68" w:rsidP="00B50C68">
      <w:pPr>
        <w:numPr>
          <w:ilvl w:val="0"/>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t>Enhanced User Experience</w:t>
      </w:r>
    </w:p>
    <w:p w14:paraId="5C860BCE" w14:textId="786730DC" w:rsidR="00654740" w:rsidRPr="00B50C68" w:rsidRDefault="00B50C68" w:rsidP="00B50C68">
      <w:pPr>
        <w:numPr>
          <w:ilvl w:val="1"/>
          <w:numId w:val="24"/>
        </w:numPr>
        <w:spacing w:before="100" w:beforeAutospacing="1" w:after="100" w:afterAutospacing="1" w:line="240" w:lineRule="auto"/>
        <w:rPr>
          <w:rFonts w:ascii="Tajawal" w:eastAsia="Times New Roman" w:hAnsi="Tajawal" w:cs="Tajawal"/>
          <w:color w:val="000000"/>
          <w:sz w:val="24"/>
          <w:szCs w:val="24"/>
          <w:lang w:val="en-YE"/>
        </w:rPr>
      </w:pPr>
      <w:r w:rsidRPr="00A5325C">
        <w:rPr>
          <w:rFonts w:ascii="Tajawal" w:eastAsia="Times New Roman" w:hAnsi="Tajawal" w:cs="Tajawal" w:hint="cs"/>
          <w:color w:val="000000"/>
          <w:sz w:val="24"/>
          <w:szCs w:val="24"/>
          <w:lang w:val="en-YE"/>
        </w:rPr>
        <w:lastRenderedPageBreak/>
        <w:t>Mobile-first solutions with real-time notifications, transaction tracking, and flexible repayments deliver superior usability</w:t>
      </w:r>
    </w:p>
    <w:p w14:paraId="49798537" w14:textId="77777777" w:rsidR="00654740" w:rsidRPr="009A0155" w:rsidRDefault="00654740" w:rsidP="003E4A6B">
      <w:pPr>
        <w:jc w:val="both"/>
        <w:rPr>
          <w:rFonts w:ascii="Tajawal" w:hAnsi="Tajawal" w:cs="Tajawal"/>
        </w:rPr>
      </w:pPr>
    </w:p>
    <w:p w14:paraId="40F93C64" w14:textId="77777777" w:rsidR="00913B03" w:rsidRPr="00401C50" w:rsidRDefault="00913B03" w:rsidP="00913B03">
      <w:pPr>
        <w:pStyle w:val="Heading2"/>
        <w:rPr>
          <w:rFonts w:ascii="Tajawal" w:hAnsi="Tajawal" w:cs="Tajawal"/>
          <w:sz w:val="40"/>
          <w:szCs w:val="40"/>
        </w:rPr>
      </w:pPr>
      <w:r w:rsidRPr="00401C50">
        <w:rPr>
          <w:rFonts w:ascii="Tajawal" w:hAnsi="Tajawal" w:cs="Tajawal" w:hint="cs"/>
          <w:sz w:val="40"/>
          <w:szCs w:val="40"/>
        </w:rPr>
        <w:t>The Role of Technology</w:t>
      </w:r>
    </w:p>
    <w:p w14:paraId="348E9D00" w14:textId="77777777" w:rsidR="00913B03" w:rsidRPr="009A0155" w:rsidRDefault="00913B03" w:rsidP="003E4A6B">
      <w:pPr>
        <w:jc w:val="both"/>
        <w:rPr>
          <w:rFonts w:ascii="Tajawal" w:hAnsi="Tajawal" w:cs="Tajawal"/>
        </w:rPr>
      </w:pPr>
      <w:r w:rsidRPr="009A0155">
        <w:rPr>
          <w:rFonts w:ascii="Tajawal" w:hAnsi="Tajawal" w:cs="Tajawal" w:hint="cs"/>
        </w:rPr>
        <w:t>Technology plays an indispensable role in the success of SNPL. Advanced algorithms assess eligibility for deferred payment in real-time, eliminating the hassle of prolonged credit checks. Blockchain technology and AI ensure transparency, security, and a personalized customer experience.</w:t>
      </w:r>
    </w:p>
    <w:p w14:paraId="5E333083" w14:textId="77777777" w:rsidR="003E4A6B" w:rsidRPr="009A0155" w:rsidRDefault="003E4A6B" w:rsidP="003E4A6B">
      <w:pPr>
        <w:jc w:val="both"/>
        <w:rPr>
          <w:rFonts w:ascii="Tajawal" w:hAnsi="Tajawal" w:cs="Tajawal"/>
        </w:rPr>
      </w:pPr>
    </w:p>
    <w:p w14:paraId="5E29C637" w14:textId="77777777" w:rsidR="00913B03" w:rsidRPr="009A0155" w:rsidRDefault="00913B03" w:rsidP="003E4A6B">
      <w:pPr>
        <w:jc w:val="both"/>
        <w:rPr>
          <w:rFonts w:ascii="Tajawal" w:hAnsi="Tajawal" w:cs="Tajawal"/>
        </w:rPr>
      </w:pPr>
      <w:r w:rsidRPr="009A0155">
        <w:rPr>
          <w:rFonts w:ascii="Tajawal" w:hAnsi="Tajawal" w:cs="Tajawal" w:hint="cs"/>
        </w:rPr>
        <w:t>Mobile apps and payment gateways have further streamlined the process, allowing consumers to access SNPL options at the click of a button while offering businesses analytics tools to monitor transactions and customer trends.</w:t>
      </w:r>
    </w:p>
    <w:p w14:paraId="03A6152F" w14:textId="77777777" w:rsidR="00913B03" w:rsidRPr="009A0155" w:rsidRDefault="00913B03" w:rsidP="00913B03">
      <w:pPr>
        <w:pStyle w:val="Heading1"/>
        <w:rPr>
          <w:rFonts w:ascii="Tajawal" w:hAnsi="Tajawal" w:cs="Tajawal"/>
        </w:rPr>
      </w:pPr>
      <w:r w:rsidRPr="009A0155">
        <w:rPr>
          <w:rFonts w:ascii="Tajawal" w:hAnsi="Tajawal" w:cs="Tajawal" w:hint="cs"/>
        </w:rPr>
        <w:t>Advantages of Send Now, Pay Later</w:t>
      </w:r>
    </w:p>
    <w:p w14:paraId="15876074" w14:textId="77777777" w:rsidR="00913B03" w:rsidRPr="009A0155" w:rsidRDefault="00913B03" w:rsidP="00913B03">
      <w:pPr>
        <w:rPr>
          <w:rFonts w:ascii="Tajawal" w:hAnsi="Tajawal" w:cs="Tajawal"/>
        </w:rPr>
      </w:pPr>
      <w:r w:rsidRPr="009A0155">
        <w:rPr>
          <w:rFonts w:ascii="Tajawal" w:hAnsi="Tajawal" w:cs="Tajawal" w:hint="cs"/>
        </w:rPr>
        <w:t>SNPL's popularity stems from its myriad benefits that appeal to both consumers and businesses.</w:t>
      </w:r>
    </w:p>
    <w:p w14:paraId="058BF459" w14:textId="77777777" w:rsidR="00913B03" w:rsidRPr="009A0155" w:rsidRDefault="00913B03" w:rsidP="00913B03">
      <w:pPr>
        <w:pStyle w:val="Heading2"/>
        <w:rPr>
          <w:rFonts w:ascii="Tajawal" w:hAnsi="Tajawal" w:cs="Tajawal"/>
        </w:rPr>
      </w:pPr>
      <w:r w:rsidRPr="009A0155">
        <w:rPr>
          <w:rFonts w:ascii="Tajawal" w:hAnsi="Tajawal" w:cs="Tajawal" w:hint="cs"/>
        </w:rPr>
        <w:t>For Consumers</w:t>
      </w:r>
    </w:p>
    <w:p w14:paraId="6529A244" w14:textId="77777777" w:rsidR="00913B03" w:rsidRPr="009A0155" w:rsidRDefault="00913B03" w:rsidP="00913B03">
      <w:pPr>
        <w:pStyle w:val="ListParagraph"/>
        <w:numPr>
          <w:ilvl w:val="0"/>
          <w:numId w:val="1"/>
        </w:numPr>
        <w:rPr>
          <w:rFonts w:ascii="Tajawal" w:hAnsi="Tajawal" w:cs="Tajawal"/>
        </w:rPr>
      </w:pPr>
      <w:r w:rsidRPr="009A0155">
        <w:rPr>
          <w:rFonts w:ascii="Tajawal" w:hAnsi="Tajawal" w:cs="Tajawal" w:hint="cs"/>
        </w:rPr>
        <w:t>Flexibility: Buyers can manage their finances without the immediate pressure of payment.</w:t>
      </w:r>
    </w:p>
    <w:p w14:paraId="094303CA" w14:textId="77777777" w:rsidR="00913B03" w:rsidRPr="009A0155" w:rsidRDefault="00913B03" w:rsidP="00913B03">
      <w:pPr>
        <w:pStyle w:val="ListParagraph"/>
        <w:numPr>
          <w:ilvl w:val="0"/>
          <w:numId w:val="1"/>
        </w:numPr>
        <w:rPr>
          <w:rFonts w:ascii="Tajawal" w:hAnsi="Tajawal" w:cs="Tajawal"/>
        </w:rPr>
      </w:pPr>
      <w:r w:rsidRPr="009A0155">
        <w:rPr>
          <w:rFonts w:ascii="Tajawal" w:hAnsi="Tajawal" w:cs="Tajawal" w:hint="cs"/>
        </w:rPr>
        <w:t>Access to Premium Products: Enables customers to purchase items they might otherwise postpone or forego due to budget constraints.</w:t>
      </w:r>
    </w:p>
    <w:p w14:paraId="6AF5243D" w14:textId="77777777" w:rsidR="00913B03" w:rsidRPr="009A0155" w:rsidRDefault="00913B03" w:rsidP="00913B03">
      <w:pPr>
        <w:pStyle w:val="ListParagraph"/>
        <w:numPr>
          <w:ilvl w:val="0"/>
          <w:numId w:val="1"/>
        </w:numPr>
        <w:rPr>
          <w:rFonts w:ascii="Tajawal" w:hAnsi="Tajawal" w:cs="Tajawal"/>
        </w:rPr>
      </w:pPr>
      <w:r w:rsidRPr="009A0155">
        <w:rPr>
          <w:rFonts w:ascii="Tajawal" w:hAnsi="Tajawal" w:cs="Tajawal" w:hint="cs"/>
        </w:rPr>
        <w:t>No Interest Options: Many SNPL providers offer interest-free plans, making it a cost-effective alternative to credit cards.</w:t>
      </w:r>
    </w:p>
    <w:p w14:paraId="597C196A" w14:textId="77777777" w:rsidR="00913B03" w:rsidRPr="009A0155" w:rsidRDefault="00913B03" w:rsidP="00913B03">
      <w:pPr>
        <w:pStyle w:val="Heading2"/>
        <w:rPr>
          <w:rFonts w:ascii="Tajawal" w:hAnsi="Tajawal" w:cs="Tajawal"/>
        </w:rPr>
      </w:pPr>
      <w:r w:rsidRPr="009A0155">
        <w:rPr>
          <w:rFonts w:ascii="Tajawal" w:hAnsi="Tajawal" w:cs="Tajawal" w:hint="cs"/>
        </w:rPr>
        <w:t>For Businesses</w:t>
      </w:r>
    </w:p>
    <w:p w14:paraId="08E7EEDF" w14:textId="77777777" w:rsidR="00913B03" w:rsidRPr="009A0155" w:rsidRDefault="00913B03" w:rsidP="00913B03">
      <w:pPr>
        <w:pStyle w:val="ListParagraph"/>
        <w:numPr>
          <w:ilvl w:val="0"/>
          <w:numId w:val="2"/>
        </w:numPr>
        <w:rPr>
          <w:rFonts w:ascii="Tajawal" w:hAnsi="Tajawal" w:cs="Tajawal"/>
        </w:rPr>
      </w:pPr>
      <w:r w:rsidRPr="009A0155">
        <w:rPr>
          <w:rFonts w:ascii="Tajawal" w:hAnsi="Tajawal" w:cs="Tajawal" w:hint="cs"/>
        </w:rPr>
        <w:t>Increased Sales: SNPL motivates impulse buying and removes financial hesitation, thereby boosting revenue.</w:t>
      </w:r>
    </w:p>
    <w:p w14:paraId="44C3A20D" w14:textId="77777777" w:rsidR="00913B03" w:rsidRPr="009A0155" w:rsidRDefault="00913B03" w:rsidP="00913B03">
      <w:pPr>
        <w:pStyle w:val="ListParagraph"/>
        <w:numPr>
          <w:ilvl w:val="0"/>
          <w:numId w:val="2"/>
        </w:numPr>
        <w:rPr>
          <w:rFonts w:ascii="Tajawal" w:hAnsi="Tajawal" w:cs="Tajawal"/>
        </w:rPr>
      </w:pPr>
      <w:r w:rsidRPr="009A0155">
        <w:rPr>
          <w:rFonts w:ascii="Tajawal" w:hAnsi="Tajawal" w:cs="Tajawal" w:hint="cs"/>
        </w:rPr>
        <w:t>Customer Loyalty: Offering flexible payment options builds trust and encourages repeat purchases.</w:t>
      </w:r>
    </w:p>
    <w:p w14:paraId="202C99AD" w14:textId="77777777" w:rsidR="00913B03" w:rsidRDefault="00913B03" w:rsidP="00913B03">
      <w:pPr>
        <w:pStyle w:val="ListParagraph"/>
        <w:numPr>
          <w:ilvl w:val="0"/>
          <w:numId w:val="2"/>
        </w:numPr>
        <w:rPr>
          <w:rFonts w:ascii="Tajawal" w:hAnsi="Tajawal" w:cs="Tajawal"/>
        </w:rPr>
      </w:pPr>
      <w:r w:rsidRPr="009A0155">
        <w:rPr>
          <w:rFonts w:ascii="Tajawal" w:hAnsi="Tajawal" w:cs="Tajawal" w:hint="cs"/>
        </w:rPr>
        <w:t>Immediate Fulfillment: Businesses can deliver products or services right away, ensuring high customer satisfaction.</w:t>
      </w:r>
    </w:p>
    <w:p w14:paraId="7B125B9D" w14:textId="77777777" w:rsidR="009A0155" w:rsidRDefault="009A0155" w:rsidP="009A0155">
      <w:pPr>
        <w:rPr>
          <w:rFonts w:ascii="Tajawal" w:hAnsi="Tajawal" w:cs="Tajawal"/>
        </w:rPr>
      </w:pPr>
    </w:p>
    <w:p w14:paraId="63648C74" w14:textId="77777777" w:rsidR="009A0155" w:rsidRDefault="009A0155" w:rsidP="009A0155">
      <w:pPr>
        <w:rPr>
          <w:rFonts w:ascii="Tajawal" w:hAnsi="Tajawal" w:cs="Tajawal"/>
        </w:rPr>
      </w:pPr>
    </w:p>
    <w:p w14:paraId="2DB34D89" w14:textId="77777777" w:rsidR="009A0155" w:rsidRDefault="009A0155" w:rsidP="009A0155">
      <w:pPr>
        <w:rPr>
          <w:rFonts w:ascii="Tajawal" w:hAnsi="Tajawal" w:cs="Tajawal"/>
        </w:rPr>
      </w:pPr>
    </w:p>
    <w:p w14:paraId="53CE10C9" w14:textId="77777777" w:rsidR="00401C50" w:rsidRDefault="00401C50" w:rsidP="009A0155">
      <w:pPr>
        <w:rPr>
          <w:rFonts w:ascii="Tajawal" w:hAnsi="Tajawal" w:cs="Tajawal"/>
        </w:rPr>
      </w:pPr>
    </w:p>
    <w:p w14:paraId="3959CFEA" w14:textId="77777777" w:rsidR="00401C50" w:rsidRPr="009A0155" w:rsidRDefault="00401C50" w:rsidP="009A0155">
      <w:pPr>
        <w:rPr>
          <w:rFonts w:ascii="Tajawal" w:hAnsi="Tajawal" w:cs="Tajawal"/>
        </w:rPr>
      </w:pPr>
    </w:p>
    <w:p w14:paraId="6A104A3A" w14:textId="77777777" w:rsidR="00913B03" w:rsidRPr="009A0155" w:rsidRDefault="00913B03" w:rsidP="00913B03">
      <w:pPr>
        <w:pStyle w:val="Heading1"/>
        <w:rPr>
          <w:rFonts w:ascii="Tajawal" w:hAnsi="Tajawal" w:cs="Tajawal"/>
        </w:rPr>
      </w:pPr>
      <w:r w:rsidRPr="009A0155">
        <w:rPr>
          <w:rFonts w:ascii="Tajawal" w:hAnsi="Tajawal" w:cs="Tajawal" w:hint="cs"/>
        </w:rPr>
        <w:lastRenderedPageBreak/>
        <w:t>Applications of SNPL</w:t>
      </w:r>
    </w:p>
    <w:p w14:paraId="0DFC7EBF" w14:textId="77777777" w:rsidR="00913B03" w:rsidRPr="009A0155" w:rsidRDefault="00913B03" w:rsidP="00913B03">
      <w:pPr>
        <w:rPr>
          <w:rFonts w:ascii="Tajawal" w:hAnsi="Tajawal" w:cs="Tajawal"/>
        </w:rPr>
      </w:pPr>
      <w:r w:rsidRPr="009A0155">
        <w:rPr>
          <w:rFonts w:ascii="Tajawal" w:hAnsi="Tajawal" w:cs="Tajawal" w:hint="cs"/>
        </w:rPr>
        <w:t>SNPL is versatile and finds applications across various industries.</w:t>
      </w:r>
    </w:p>
    <w:p w14:paraId="2A97198A" w14:textId="77777777" w:rsidR="00913B03" w:rsidRPr="009A0155" w:rsidRDefault="00913B03" w:rsidP="00913B03">
      <w:pPr>
        <w:pStyle w:val="Heading2"/>
        <w:rPr>
          <w:rFonts w:ascii="Tajawal" w:hAnsi="Tajawal" w:cs="Tajawal"/>
        </w:rPr>
      </w:pPr>
      <w:r w:rsidRPr="009A0155">
        <w:rPr>
          <w:rFonts w:ascii="Tajawal" w:hAnsi="Tajawal" w:cs="Tajawal" w:hint="cs"/>
        </w:rPr>
        <w:t>E-commerce</w:t>
      </w:r>
    </w:p>
    <w:p w14:paraId="01BB86CC" w14:textId="77777777" w:rsidR="00913B03" w:rsidRPr="009A0155" w:rsidRDefault="00913B03" w:rsidP="00913B03">
      <w:pPr>
        <w:rPr>
          <w:rFonts w:ascii="Tajawal" w:hAnsi="Tajawal" w:cs="Tajawal"/>
        </w:rPr>
      </w:pPr>
      <w:r w:rsidRPr="009A0155">
        <w:rPr>
          <w:rFonts w:ascii="Tajawal" w:hAnsi="Tajawal" w:cs="Tajawal" w:hint="cs"/>
        </w:rPr>
        <w:t>Online retailers are among the biggest adopters of SNPL. Platforms like Shopify and Amazon have integrated SNPL systems to attract more customers and facilitate seamless shopping experiences.</w:t>
      </w:r>
    </w:p>
    <w:p w14:paraId="122EF46A" w14:textId="77777777" w:rsidR="00913B03" w:rsidRPr="009A0155" w:rsidRDefault="00913B03" w:rsidP="00913B03">
      <w:pPr>
        <w:pStyle w:val="Heading2"/>
        <w:rPr>
          <w:rFonts w:ascii="Tajawal" w:hAnsi="Tajawal" w:cs="Tajawal"/>
        </w:rPr>
      </w:pPr>
      <w:r w:rsidRPr="009A0155">
        <w:rPr>
          <w:rFonts w:ascii="Tajawal" w:hAnsi="Tajawal" w:cs="Tajawal" w:hint="cs"/>
        </w:rPr>
        <w:t>Travel and Hospitality</w:t>
      </w:r>
    </w:p>
    <w:p w14:paraId="2E6331BF" w14:textId="77777777" w:rsidR="00913B03" w:rsidRPr="009A0155" w:rsidRDefault="00913B03" w:rsidP="00913B03">
      <w:pPr>
        <w:rPr>
          <w:rFonts w:ascii="Tajawal" w:hAnsi="Tajawal" w:cs="Tajawal"/>
        </w:rPr>
      </w:pPr>
      <w:r w:rsidRPr="009A0155">
        <w:rPr>
          <w:rFonts w:ascii="Tajawal" w:hAnsi="Tajawal" w:cs="Tajawal" w:hint="cs"/>
        </w:rPr>
        <w:t>SNPL allows travelers to book flights, accommodations, and tours without upfront payment, making dream vacations accessible while aligning payments with their income cycles.</w:t>
      </w:r>
    </w:p>
    <w:p w14:paraId="2E782F73" w14:textId="77777777" w:rsidR="00913B03" w:rsidRPr="009A0155" w:rsidRDefault="00913B03" w:rsidP="00913B03">
      <w:pPr>
        <w:pStyle w:val="Heading2"/>
        <w:rPr>
          <w:rFonts w:ascii="Tajawal" w:hAnsi="Tajawal" w:cs="Tajawal"/>
        </w:rPr>
      </w:pPr>
      <w:r w:rsidRPr="009A0155">
        <w:rPr>
          <w:rFonts w:ascii="Tajawal" w:hAnsi="Tajawal" w:cs="Tajawal" w:hint="cs"/>
        </w:rPr>
        <w:t>Healthcare</w:t>
      </w:r>
    </w:p>
    <w:p w14:paraId="53C1180E" w14:textId="77777777" w:rsidR="00913B03" w:rsidRPr="009A0155" w:rsidRDefault="00913B03" w:rsidP="00913B03">
      <w:pPr>
        <w:rPr>
          <w:rFonts w:ascii="Tajawal" w:hAnsi="Tajawal" w:cs="Tajawal"/>
        </w:rPr>
      </w:pPr>
      <w:r w:rsidRPr="009A0155">
        <w:rPr>
          <w:rFonts w:ascii="Tajawal" w:hAnsi="Tajawal" w:cs="Tajawal" w:hint="cs"/>
        </w:rPr>
        <w:t>SNPL is increasingly used in healthcare to manage the cost of expensive treatments and surgeries, ensuring patients receive timely care without financial hurdles.</w:t>
      </w:r>
    </w:p>
    <w:p w14:paraId="31C4C3A7" w14:textId="77777777" w:rsidR="00913B03" w:rsidRPr="009A0155" w:rsidRDefault="00913B03" w:rsidP="00913B03">
      <w:pPr>
        <w:pStyle w:val="Heading2"/>
        <w:rPr>
          <w:rFonts w:ascii="Tajawal" w:hAnsi="Tajawal" w:cs="Tajawal"/>
        </w:rPr>
      </w:pPr>
      <w:r w:rsidRPr="009A0155">
        <w:rPr>
          <w:rFonts w:ascii="Tajawal" w:hAnsi="Tajawal" w:cs="Tajawal" w:hint="cs"/>
        </w:rPr>
        <w:t>Education</w:t>
      </w:r>
    </w:p>
    <w:p w14:paraId="6492AD17" w14:textId="77777777" w:rsidR="00913B03" w:rsidRPr="009A0155" w:rsidRDefault="00913B03" w:rsidP="00913B03">
      <w:pPr>
        <w:rPr>
          <w:rFonts w:ascii="Tajawal" w:hAnsi="Tajawal" w:cs="Tajawal"/>
        </w:rPr>
      </w:pPr>
      <w:r w:rsidRPr="009A0155">
        <w:rPr>
          <w:rFonts w:ascii="Tajawal" w:hAnsi="Tajawal" w:cs="Tajawal" w:hint="cs"/>
        </w:rPr>
        <w:t>Educational institutions and online learning platforms use SNPL to provide students with deferred payment options for tuition fees and courses.</w:t>
      </w:r>
    </w:p>
    <w:p w14:paraId="6A0739DF" w14:textId="77777777" w:rsidR="00913B03" w:rsidRPr="009A0155" w:rsidRDefault="00913B03" w:rsidP="00913B03">
      <w:pPr>
        <w:pStyle w:val="Heading1"/>
        <w:rPr>
          <w:rFonts w:ascii="Tajawal" w:hAnsi="Tajawal" w:cs="Tajawal"/>
        </w:rPr>
      </w:pPr>
      <w:r w:rsidRPr="009A0155">
        <w:rPr>
          <w:rFonts w:ascii="Tajawal" w:hAnsi="Tajawal" w:cs="Tajawal" w:hint="cs"/>
        </w:rPr>
        <w:t>Challenges and Criticisms</w:t>
      </w:r>
    </w:p>
    <w:p w14:paraId="32441D25" w14:textId="77777777" w:rsidR="00913B03" w:rsidRPr="009A0155" w:rsidRDefault="00913B03" w:rsidP="00913B03">
      <w:pPr>
        <w:rPr>
          <w:rFonts w:ascii="Tajawal" w:hAnsi="Tajawal" w:cs="Tajawal"/>
        </w:rPr>
      </w:pPr>
      <w:r w:rsidRPr="009A0155">
        <w:rPr>
          <w:rFonts w:ascii="Tajawal" w:hAnsi="Tajawal" w:cs="Tajawal" w:hint="cs"/>
        </w:rPr>
        <w:t>Despite its advantages, SNPL faces several challenges that need attention.</w:t>
      </w:r>
    </w:p>
    <w:p w14:paraId="7A1ED4F4" w14:textId="77777777" w:rsidR="00913B03" w:rsidRPr="009A0155" w:rsidRDefault="00913B03" w:rsidP="00913B03">
      <w:pPr>
        <w:pStyle w:val="Heading2"/>
        <w:rPr>
          <w:rFonts w:ascii="Tajawal" w:hAnsi="Tajawal" w:cs="Tajawal"/>
        </w:rPr>
      </w:pPr>
      <w:r w:rsidRPr="009A0155">
        <w:rPr>
          <w:rFonts w:ascii="Tajawal" w:hAnsi="Tajawal" w:cs="Tajawal" w:hint="cs"/>
        </w:rPr>
        <w:t>Consumer Debt</w:t>
      </w:r>
    </w:p>
    <w:p w14:paraId="0BDC7D8B" w14:textId="77777777" w:rsidR="00913B03" w:rsidRPr="009A0155" w:rsidRDefault="00913B03" w:rsidP="00913B03">
      <w:pPr>
        <w:rPr>
          <w:rFonts w:ascii="Tajawal" w:hAnsi="Tajawal" w:cs="Tajawal"/>
        </w:rPr>
      </w:pPr>
      <w:r w:rsidRPr="009A0155">
        <w:rPr>
          <w:rFonts w:ascii="Tajawal" w:hAnsi="Tajawal" w:cs="Tajawal" w:hint="cs"/>
        </w:rPr>
        <w:t>Deferred payment models can encourage overspending, leading to financial strain and debt accumulation.</w:t>
      </w:r>
    </w:p>
    <w:p w14:paraId="24C8FC5D" w14:textId="77777777" w:rsidR="00913B03" w:rsidRPr="009A0155" w:rsidRDefault="00913B03" w:rsidP="00913B03">
      <w:pPr>
        <w:pStyle w:val="Heading2"/>
        <w:rPr>
          <w:rFonts w:ascii="Tajawal" w:hAnsi="Tajawal" w:cs="Tajawal"/>
        </w:rPr>
      </w:pPr>
      <w:r w:rsidRPr="009A0155">
        <w:rPr>
          <w:rFonts w:ascii="Tajawal" w:hAnsi="Tajawal" w:cs="Tajawal" w:hint="cs"/>
        </w:rPr>
        <w:t>Regulatory Concerns</w:t>
      </w:r>
    </w:p>
    <w:p w14:paraId="4D863E79" w14:textId="77777777" w:rsidR="00913B03" w:rsidRPr="009A0155" w:rsidRDefault="00913B03" w:rsidP="00913B03">
      <w:pPr>
        <w:rPr>
          <w:rFonts w:ascii="Tajawal" w:hAnsi="Tajawal" w:cs="Tajawal"/>
        </w:rPr>
      </w:pPr>
      <w:r w:rsidRPr="009A0155">
        <w:rPr>
          <w:rFonts w:ascii="Tajawal" w:hAnsi="Tajawal" w:cs="Tajawal" w:hint="cs"/>
        </w:rPr>
        <w:t>As SNPL grows, governments and financial regulators are actively exploring ways to ensure transparency, prevent predatory practices, and safeguard consumer rights.</w:t>
      </w:r>
    </w:p>
    <w:p w14:paraId="321774C2" w14:textId="77777777" w:rsidR="00913B03" w:rsidRPr="009A0155" w:rsidRDefault="00913B03" w:rsidP="00913B03">
      <w:pPr>
        <w:pStyle w:val="Heading2"/>
        <w:rPr>
          <w:rFonts w:ascii="Tajawal" w:hAnsi="Tajawal" w:cs="Tajawal"/>
        </w:rPr>
      </w:pPr>
      <w:r w:rsidRPr="009A0155">
        <w:rPr>
          <w:rFonts w:ascii="Tajawal" w:hAnsi="Tajawal" w:cs="Tajawal" w:hint="cs"/>
        </w:rPr>
        <w:t>Merchant Risks</w:t>
      </w:r>
    </w:p>
    <w:p w14:paraId="48E71749" w14:textId="77777777" w:rsidR="00913B03" w:rsidRPr="009A0155" w:rsidRDefault="00913B03" w:rsidP="00913B03">
      <w:pPr>
        <w:rPr>
          <w:rFonts w:ascii="Tajawal" w:hAnsi="Tajawal" w:cs="Tajawal"/>
        </w:rPr>
      </w:pPr>
      <w:r w:rsidRPr="009A0155">
        <w:rPr>
          <w:rFonts w:ascii="Tajawal" w:hAnsi="Tajawal" w:cs="Tajawal" w:hint="cs"/>
        </w:rPr>
        <w:t>Businesses may face risks, such as default payments or fraud. Proper vetting systems and insurance solutions are essential to mitigate these issues.</w:t>
      </w:r>
    </w:p>
    <w:p w14:paraId="64751912" w14:textId="77777777" w:rsidR="00913B03" w:rsidRPr="009A0155" w:rsidRDefault="00913B03" w:rsidP="00913B03">
      <w:pPr>
        <w:pStyle w:val="Heading1"/>
        <w:rPr>
          <w:rFonts w:ascii="Tajawal" w:hAnsi="Tajawal" w:cs="Tajawal"/>
        </w:rPr>
      </w:pPr>
      <w:r w:rsidRPr="009A0155">
        <w:rPr>
          <w:rFonts w:ascii="Tajawal" w:hAnsi="Tajawal" w:cs="Tajawal" w:hint="cs"/>
        </w:rPr>
        <w:lastRenderedPageBreak/>
        <w:t>The Future of SNPL</w:t>
      </w:r>
    </w:p>
    <w:p w14:paraId="7B4FA14D" w14:textId="77777777" w:rsidR="00913B03" w:rsidRPr="009A0155" w:rsidRDefault="00913B03" w:rsidP="003E4A6B">
      <w:pPr>
        <w:jc w:val="both"/>
        <w:rPr>
          <w:rFonts w:ascii="Tajawal" w:hAnsi="Tajawal" w:cs="Tajawal"/>
        </w:rPr>
      </w:pPr>
      <w:r w:rsidRPr="009A0155">
        <w:rPr>
          <w:rFonts w:ascii="Tajawal" w:hAnsi="Tajawal" w:cs="Tajawal" w:hint="cs"/>
        </w:rPr>
        <w:t>As technology evolves, so does the scope of Send Now, Pay Later. Artificial intelligence and machine learning will refine risk assessment and personalization further. Enhanced integration with blockchain systems may ensure greater transparency and security.</w:t>
      </w:r>
    </w:p>
    <w:p w14:paraId="5AF773AC" w14:textId="77777777" w:rsidR="003E4A6B" w:rsidRPr="009A0155" w:rsidRDefault="003E4A6B" w:rsidP="003E4A6B">
      <w:pPr>
        <w:jc w:val="both"/>
        <w:rPr>
          <w:rFonts w:ascii="Tajawal" w:hAnsi="Tajawal" w:cs="Tajawal"/>
        </w:rPr>
      </w:pPr>
    </w:p>
    <w:p w14:paraId="38EBF80A" w14:textId="77777777" w:rsidR="00913B03" w:rsidRPr="009A0155" w:rsidRDefault="00913B03" w:rsidP="003E4A6B">
      <w:pPr>
        <w:jc w:val="both"/>
        <w:rPr>
          <w:rFonts w:ascii="Tajawal" w:hAnsi="Tajawal" w:cs="Tajawal"/>
        </w:rPr>
      </w:pPr>
      <w:r w:rsidRPr="009A0155">
        <w:rPr>
          <w:rFonts w:ascii="Tajawal" w:hAnsi="Tajawal" w:cs="Tajawal" w:hint="cs"/>
        </w:rPr>
        <w:t>Moreover, as consumer habits shift towards sustainability, SNPL providers may introduce eco-friendly initiatives like discounts for green purchases or partnerships with sustainable brands.</w:t>
      </w:r>
    </w:p>
    <w:p w14:paraId="4F977538" w14:textId="77777777" w:rsidR="00913B03" w:rsidRPr="009A0155" w:rsidRDefault="00913B03" w:rsidP="00913B03">
      <w:pPr>
        <w:pStyle w:val="Heading1"/>
        <w:rPr>
          <w:rFonts w:ascii="Tajawal" w:hAnsi="Tajawal" w:cs="Tajawal"/>
        </w:rPr>
      </w:pPr>
      <w:r w:rsidRPr="009A0155">
        <w:rPr>
          <w:rFonts w:ascii="Tajawal" w:hAnsi="Tajawal" w:cs="Tajawal" w:hint="cs"/>
        </w:rPr>
        <w:t>Conclusion</w:t>
      </w:r>
    </w:p>
    <w:p w14:paraId="0078BA2B" w14:textId="77777777" w:rsidR="00913B03" w:rsidRPr="009A0155" w:rsidRDefault="00913B03" w:rsidP="003E4A6B">
      <w:pPr>
        <w:jc w:val="both"/>
        <w:rPr>
          <w:rFonts w:ascii="Tajawal" w:hAnsi="Tajawal" w:cs="Tajawal"/>
        </w:rPr>
      </w:pPr>
      <w:r w:rsidRPr="009A0155">
        <w:rPr>
          <w:rFonts w:ascii="Tajawal" w:hAnsi="Tajawal" w:cs="Tajawal" w:hint="cs"/>
        </w:rPr>
        <w:t>Send Now, Pay Later is a groundbreaking financial model that caters to the modern consumer's need for convenience and flexibility. While it offers significant benefits, it is vital to address its challenges through innovation and regulation. With its potential to transform industries, SNPL is not just a trend—it's a glimpse into the future of payments.</w:t>
      </w:r>
    </w:p>
    <w:p w14:paraId="1E8D1BC1" w14:textId="77777777" w:rsidR="003E4A6B" w:rsidRPr="009A0155" w:rsidRDefault="003E4A6B" w:rsidP="003E4A6B">
      <w:pPr>
        <w:jc w:val="both"/>
        <w:rPr>
          <w:rFonts w:ascii="Tajawal" w:hAnsi="Tajawal" w:cs="Tajawal"/>
        </w:rPr>
      </w:pPr>
    </w:p>
    <w:p w14:paraId="5A3CC6B7" w14:textId="77777777" w:rsidR="003E4A6B" w:rsidRDefault="003E4A6B" w:rsidP="003E4A6B">
      <w:pPr>
        <w:jc w:val="both"/>
        <w:rPr>
          <w:rFonts w:ascii="Tajawal" w:hAnsi="Tajawal" w:cs="Tajawal"/>
        </w:rPr>
      </w:pPr>
    </w:p>
    <w:p w14:paraId="5C4F1A88" w14:textId="77777777" w:rsidR="00401C50" w:rsidRDefault="00401C50" w:rsidP="003E4A6B">
      <w:pPr>
        <w:jc w:val="both"/>
        <w:rPr>
          <w:rFonts w:ascii="Tajawal" w:hAnsi="Tajawal" w:cs="Tajawal"/>
        </w:rPr>
      </w:pPr>
    </w:p>
    <w:p w14:paraId="2DBEDE76" w14:textId="77777777" w:rsidR="00401C50" w:rsidRDefault="00401C50" w:rsidP="003E4A6B">
      <w:pPr>
        <w:jc w:val="both"/>
        <w:rPr>
          <w:rFonts w:ascii="Tajawal" w:hAnsi="Tajawal" w:cs="Tajawal"/>
        </w:rPr>
      </w:pPr>
    </w:p>
    <w:p w14:paraId="73265373" w14:textId="77777777" w:rsidR="00401C50" w:rsidRDefault="00401C50" w:rsidP="003E4A6B">
      <w:pPr>
        <w:jc w:val="both"/>
        <w:rPr>
          <w:rFonts w:ascii="Tajawal" w:hAnsi="Tajawal" w:cs="Tajawal"/>
        </w:rPr>
      </w:pPr>
    </w:p>
    <w:p w14:paraId="132E6A48" w14:textId="77777777" w:rsidR="00401C50" w:rsidRDefault="00401C50" w:rsidP="003E4A6B">
      <w:pPr>
        <w:jc w:val="both"/>
        <w:rPr>
          <w:rFonts w:ascii="Tajawal" w:hAnsi="Tajawal" w:cs="Tajawal"/>
        </w:rPr>
      </w:pPr>
    </w:p>
    <w:p w14:paraId="59E8D045" w14:textId="77777777" w:rsidR="00401C50" w:rsidRDefault="00401C50" w:rsidP="003E4A6B">
      <w:pPr>
        <w:jc w:val="both"/>
        <w:rPr>
          <w:rFonts w:ascii="Tajawal" w:hAnsi="Tajawal" w:cs="Tajawal"/>
        </w:rPr>
      </w:pPr>
    </w:p>
    <w:p w14:paraId="10CBEB47" w14:textId="77777777" w:rsidR="00401C50" w:rsidRDefault="00401C50" w:rsidP="003E4A6B">
      <w:pPr>
        <w:jc w:val="both"/>
        <w:rPr>
          <w:rFonts w:ascii="Tajawal" w:hAnsi="Tajawal" w:cs="Tajawal"/>
        </w:rPr>
      </w:pPr>
    </w:p>
    <w:p w14:paraId="7E2FA30A" w14:textId="77777777" w:rsidR="00401C50" w:rsidRDefault="00401C50" w:rsidP="003E4A6B">
      <w:pPr>
        <w:jc w:val="both"/>
        <w:rPr>
          <w:rFonts w:ascii="Tajawal" w:hAnsi="Tajawal" w:cs="Tajawal"/>
        </w:rPr>
      </w:pPr>
    </w:p>
    <w:p w14:paraId="73FD2AFC" w14:textId="77777777" w:rsidR="00401C50" w:rsidRDefault="00401C50" w:rsidP="003E4A6B">
      <w:pPr>
        <w:jc w:val="both"/>
        <w:rPr>
          <w:rFonts w:ascii="Tajawal" w:hAnsi="Tajawal" w:cs="Tajawal"/>
        </w:rPr>
      </w:pPr>
    </w:p>
    <w:p w14:paraId="5254EAF3" w14:textId="77777777" w:rsidR="00401C50" w:rsidRDefault="00401C50" w:rsidP="003E4A6B">
      <w:pPr>
        <w:jc w:val="both"/>
        <w:rPr>
          <w:rFonts w:ascii="Tajawal" w:hAnsi="Tajawal" w:cs="Tajawal"/>
        </w:rPr>
      </w:pPr>
    </w:p>
    <w:p w14:paraId="3B56B236" w14:textId="77777777" w:rsidR="00401C50" w:rsidRDefault="00401C50" w:rsidP="003E4A6B">
      <w:pPr>
        <w:jc w:val="both"/>
        <w:rPr>
          <w:rFonts w:ascii="Tajawal" w:hAnsi="Tajawal" w:cs="Tajawal"/>
        </w:rPr>
      </w:pPr>
    </w:p>
    <w:p w14:paraId="74CD7FBB" w14:textId="77777777" w:rsidR="00401C50" w:rsidRDefault="00401C50" w:rsidP="003E4A6B">
      <w:pPr>
        <w:jc w:val="both"/>
        <w:rPr>
          <w:rFonts w:ascii="Tajawal" w:hAnsi="Tajawal" w:cs="Tajawal"/>
        </w:rPr>
      </w:pPr>
    </w:p>
    <w:p w14:paraId="3DD08BB0" w14:textId="77777777" w:rsidR="00401C50" w:rsidRDefault="00401C50" w:rsidP="003E4A6B">
      <w:pPr>
        <w:jc w:val="both"/>
        <w:rPr>
          <w:rFonts w:ascii="Tajawal" w:hAnsi="Tajawal" w:cs="Tajawal"/>
        </w:rPr>
      </w:pPr>
    </w:p>
    <w:p w14:paraId="7ED7E07D" w14:textId="77777777" w:rsidR="00401C50" w:rsidRDefault="00401C50" w:rsidP="003E4A6B">
      <w:pPr>
        <w:jc w:val="both"/>
        <w:rPr>
          <w:rFonts w:ascii="Tajawal" w:hAnsi="Tajawal" w:cs="Tajawal"/>
        </w:rPr>
      </w:pPr>
    </w:p>
    <w:p w14:paraId="41D95864" w14:textId="77777777" w:rsidR="00401C50" w:rsidRDefault="00401C50" w:rsidP="003E4A6B">
      <w:pPr>
        <w:jc w:val="both"/>
        <w:rPr>
          <w:rFonts w:ascii="Tajawal" w:hAnsi="Tajawal" w:cs="Tajawal"/>
        </w:rPr>
      </w:pPr>
    </w:p>
    <w:p w14:paraId="66AF0382" w14:textId="77777777" w:rsidR="00401C50" w:rsidRDefault="00401C50" w:rsidP="003E4A6B">
      <w:pPr>
        <w:jc w:val="both"/>
        <w:rPr>
          <w:rFonts w:ascii="Tajawal" w:hAnsi="Tajawal" w:cs="Tajawal"/>
        </w:rPr>
      </w:pPr>
    </w:p>
    <w:p w14:paraId="56C71A6C" w14:textId="77777777" w:rsidR="00401C50" w:rsidRDefault="00401C50" w:rsidP="003E4A6B">
      <w:pPr>
        <w:jc w:val="both"/>
        <w:rPr>
          <w:rFonts w:ascii="Tajawal" w:hAnsi="Tajawal" w:cs="Tajawal"/>
        </w:rPr>
      </w:pPr>
    </w:p>
    <w:p w14:paraId="49CDC134" w14:textId="77777777" w:rsidR="00401C50" w:rsidRDefault="00401C50" w:rsidP="003E4A6B">
      <w:pPr>
        <w:jc w:val="both"/>
        <w:rPr>
          <w:rFonts w:ascii="Tajawal" w:hAnsi="Tajawal" w:cs="Tajawal"/>
        </w:rPr>
      </w:pPr>
    </w:p>
    <w:p w14:paraId="5CE9FF02" w14:textId="77777777" w:rsidR="00401C50" w:rsidRDefault="00401C50" w:rsidP="003E4A6B">
      <w:pPr>
        <w:jc w:val="both"/>
        <w:rPr>
          <w:rFonts w:ascii="Tajawal" w:hAnsi="Tajawal" w:cs="Tajawal"/>
        </w:rPr>
      </w:pPr>
    </w:p>
    <w:p w14:paraId="58D44DFC" w14:textId="77777777" w:rsidR="00401C50" w:rsidRDefault="00401C50" w:rsidP="003E4A6B">
      <w:pPr>
        <w:jc w:val="both"/>
        <w:rPr>
          <w:rFonts w:ascii="Tajawal" w:hAnsi="Tajawal" w:cs="Tajawal"/>
        </w:rPr>
      </w:pPr>
    </w:p>
    <w:p w14:paraId="6F7598B4" w14:textId="77777777" w:rsidR="00401C50" w:rsidRDefault="00401C50" w:rsidP="003E4A6B">
      <w:pPr>
        <w:jc w:val="both"/>
        <w:rPr>
          <w:rFonts w:ascii="Tajawal" w:hAnsi="Tajawal" w:cs="Tajawal"/>
        </w:rPr>
      </w:pPr>
    </w:p>
    <w:p w14:paraId="1FD5D7E3" w14:textId="77777777" w:rsidR="00401C50" w:rsidRDefault="00401C50" w:rsidP="003E4A6B">
      <w:pPr>
        <w:jc w:val="both"/>
        <w:rPr>
          <w:rFonts w:ascii="Tajawal" w:hAnsi="Tajawal" w:cs="Tajawal"/>
        </w:rPr>
      </w:pPr>
    </w:p>
    <w:p w14:paraId="359A6F31" w14:textId="77777777" w:rsidR="00401C50" w:rsidRDefault="00401C50" w:rsidP="003E4A6B">
      <w:pPr>
        <w:jc w:val="both"/>
        <w:rPr>
          <w:rFonts w:ascii="Tajawal" w:hAnsi="Tajawal" w:cs="Tajawal"/>
        </w:rPr>
      </w:pPr>
    </w:p>
    <w:p w14:paraId="5C657434" w14:textId="77777777" w:rsidR="00401C50" w:rsidRPr="009A0155" w:rsidRDefault="00401C50" w:rsidP="003E4A6B">
      <w:pPr>
        <w:jc w:val="both"/>
        <w:rPr>
          <w:rFonts w:ascii="Tajawal" w:hAnsi="Tajawal" w:cs="Tajawal"/>
        </w:rPr>
      </w:pPr>
    </w:p>
    <w:p w14:paraId="661AF486" w14:textId="68AFF70E" w:rsidR="00DC3258" w:rsidRPr="009A0155" w:rsidRDefault="00DC3258" w:rsidP="00913B03">
      <w:pPr>
        <w:rPr>
          <w:rFonts w:ascii="Tajawal" w:hAnsi="Tajawal" w:cs="Tajawal"/>
        </w:rPr>
      </w:pPr>
    </w:p>
    <w:p w14:paraId="23577767" w14:textId="77777777" w:rsidR="00502065" w:rsidRPr="00401C50" w:rsidRDefault="00502065" w:rsidP="00502065">
      <w:pPr>
        <w:pStyle w:val="Title"/>
        <w:rPr>
          <w:rFonts w:ascii="Tajawal" w:hAnsi="Tajawal" w:cs="Tajawal"/>
          <w:color w:val="0F4761" w:themeColor="accent1" w:themeShade="BF"/>
          <w:spacing w:val="0"/>
          <w:kern w:val="0"/>
          <w:sz w:val="40"/>
          <w:szCs w:val="40"/>
        </w:rPr>
      </w:pPr>
      <w:r w:rsidRPr="00401C50">
        <w:rPr>
          <w:rFonts w:ascii="Tajawal" w:hAnsi="Tajawal" w:cs="Tajawal" w:hint="cs"/>
          <w:color w:val="0F4761" w:themeColor="accent1" w:themeShade="BF"/>
          <w:spacing w:val="0"/>
          <w:kern w:val="0"/>
          <w:sz w:val="40"/>
          <w:szCs w:val="40"/>
        </w:rPr>
        <w:lastRenderedPageBreak/>
        <w:t>Business Model of Send Now, Pay Later</w:t>
      </w:r>
    </w:p>
    <w:p w14:paraId="6D8C7006" w14:textId="77777777" w:rsidR="00502065" w:rsidRPr="009A0155" w:rsidRDefault="00502065" w:rsidP="00502065">
      <w:pPr>
        <w:pStyle w:val="Subtitle"/>
        <w:rPr>
          <w:rFonts w:ascii="Tajawal" w:hAnsi="Tajawal" w:cs="Tajawal"/>
        </w:rPr>
      </w:pPr>
      <w:r w:rsidRPr="009A0155">
        <w:rPr>
          <w:rFonts w:ascii="Tajawal" w:hAnsi="Tajawal" w:cs="Tajawal" w:hint="cs"/>
        </w:rPr>
        <w:t>Innovative Approach to Modern Transactions</w:t>
      </w:r>
    </w:p>
    <w:p w14:paraId="3FB28C91" w14:textId="77777777" w:rsidR="00502065" w:rsidRPr="009A0155" w:rsidRDefault="00502065" w:rsidP="003E4A6B">
      <w:pPr>
        <w:jc w:val="both"/>
        <w:rPr>
          <w:rFonts w:ascii="Tajawal" w:hAnsi="Tajawal" w:cs="Tajawal"/>
        </w:rPr>
      </w:pPr>
      <w:r w:rsidRPr="009A0155">
        <w:rPr>
          <w:rFonts w:ascii="Tajawal" w:hAnsi="Tajawal" w:cs="Tajawal" w:hint="cs"/>
        </w:rPr>
        <w:t>The business model of Send Now, Pay Later (SNPL) thrives on the synergy between financial flexibility and technological advancement, catering to the growing demands of instant gratification in consumer behavior. It focuses on offering a seamless transaction process where goods or services are delivered immediately, while payments are deferred, creating a win-win scenario for both consumers and businesses.</w:t>
      </w:r>
    </w:p>
    <w:p w14:paraId="3FC77037" w14:textId="77777777" w:rsidR="00502065" w:rsidRPr="009A0155" w:rsidRDefault="00502065" w:rsidP="00502065">
      <w:pPr>
        <w:pStyle w:val="Heading1"/>
        <w:rPr>
          <w:rFonts w:ascii="Tajawal" w:hAnsi="Tajawal" w:cs="Tajawal"/>
        </w:rPr>
      </w:pPr>
      <w:r w:rsidRPr="009A0155">
        <w:rPr>
          <w:rFonts w:ascii="Tajawal" w:hAnsi="Tajawal" w:cs="Tajawal" w:hint="cs"/>
        </w:rPr>
        <w:t>How SNPL Generates Revenue</w:t>
      </w:r>
    </w:p>
    <w:p w14:paraId="6128CA24" w14:textId="77777777" w:rsidR="00502065" w:rsidRPr="009A0155" w:rsidRDefault="00502065" w:rsidP="00502065">
      <w:pPr>
        <w:rPr>
          <w:rFonts w:ascii="Tajawal" w:hAnsi="Tajawal" w:cs="Tajawal"/>
        </w:rPr>
      </w:pPr>
      <w:r w:rsidRPr="009A0155">
        <w:rPr>
          <w:rFonts w:ascii="Tajawal" w:hAnsi="Tajawal" w:cs="Tajawal" w:hint="cs"/>
        </w:rPr>
        <w:t>SNPL platforms typically generate revenue through a combination of consumer fees, merchant partnerships, and interest charges. Here are the key components:</w:t>
      </w:r>
    </w:p>
    <w:p w14:paraId="74DFB0F3" w14:textId="77777777" w:rsidR="00502065" w:rsidRPr="009A0155" w:rsidRDefault="00502065" w:rsidP="00502065">
      <w:pPr>
        <w:pStyle w:val="ListParagraph"/>
        <w:numPr>
          <w:ilvl w:val="0"/>
          <w:numId w:val="3"/>
        </w:numPr>
        <w:rPr>
          <w:rFonts w:ascii="Tajawal" w:hAnsi="Tajawal" w:cs="Tajawal"/>
        </w:rPr>
      </w:pPr>
      <w:r w:rsidRPr="009A0155">
        <w:rPr>
          <w:rFonts w:ascii="Tajawal" w:hAnsi="Tajawal" w:cs="Tajawal" w:hint="cs"/>
        </w:rPr>
        <w:t>Transactional Fees: Some SNPL providers charge consumers a small fee for the service, especially for longer repayment periods or premium plans.</w:t>
      </w:r>
    </w:p>
    <w:p w14:paraId="44944D5E" w14:textId="77777777" w:rsidR="00502065" w:rsidRPr="009A0155" w:rsidRDefault="00502065" w:rsidP="00502065">
      <w:pPr>
        <w:pStyle w:val="ListParagraph"/>
        <w:numPr>
          <w:ilvl w:val="0"/>
          <w:numId w:val="3"/>
        </w:numPr>
        <w:rPr>
          <w:rFonts w:ascii="Tajawal" w:hAnsi="Tajawal" w:cs="Tajawal"/>
        </w:rPr>
      </w:pPr>
      <w:r w:rsidRPr="009A0155">
        <w:rPr>
          <w:rFonts w:ascii="Tajawal" w:hAnsi="Tajawal" w:cs="Tajawal" w:hint="cs"/>
        </w:rPr>
        <w:t>Merchant Fees: Businesses pay a percentage of each transaction to SNPL providers in exchange for the increased sales, customer loyalty, and instant order fulfillment.</w:t>
      </w:r>
    </w:p>
    <w:p w14:paraId="0868E8FE" w14:textId="77777777" w:rsidR="00502065" w:rsidRPr="009A0155" w:rsidRDefault="00502065" w:rsidP="00502065">
      <w:pPr>
        <w:pStyle w:val="ListParagraph"/>
        <w:numPr>
          <w:ilvl w:val="0"/>
          <w:numId w:val="3"/>
        </w:numPr>
        <w:rPr>
          <w:rFonts w:ascii="Tajawal" w:hAnsi="Tajawal" w:cs="Tajawal"/>
        </w:rPr>
      </w:pPr>
      <w:r w:rsidRPr="009A0155">
        <w:rPr>
          <w:rFonts w:ascii="Tajawal" w:hAnsi="Tajawal" w:cs="Tajawal" w:hint="cs"/>
        </w:rPr>
        <w:t>Interest Revenue: Although many SNPL plans are interest-free, extended or delayed payment options often incur interest, adding to the provider’s earnings.</w:t>
      </w:r>
    </w:p>
    <w:p w14:paraId="3BBF0395" w14:textId="77777777" w:rsidR="00502065" w:rsidRPr="009A0155" w:rsidRDefault="00502065" w:rsidP="00502065">
      <w:pPr>
        <w:pStyle w:val="Heading1"/>
        <w:rPr>
          <w:rFonts w:ascii="Tajawal" w:hAnsi="Tajawal" w:cs="Tajawal"/>
        </w:rPr>
      </w:pPr>
      <w:r w:rsidRPr="009A0155">
        <w:rPr>
          <w:rFonts w:ascii="Tajawal" w:hAnsi="Tajawal" w:cs="Tajawal" w:hint="cs"/>
        </w:rPr>
        <w:t>Key Features of the Business Model</w:t>
      </w:r>
    </w:p>
    <w:p w14:paraId="29F94485" w14:textId="77777777" w:rsidR="00502065" w:rsidRPr="009A0155" w:rsidRDefault="00502065" w:rsidP="00502065">
      <w:pPr>
        <w:rPr>
          <w:rFonts w:ascii="Tajawal" w:hAnsi="Tajawal" w:cs="Tajawal"/>
        </w:rPr>
      </w:pPr>
      <w:r w:rsidRPr="009A0155">
        <w:rPr>
          <w:rFonts w:ascii="Tajawal" w:hAnsi="Tajawal" w:cs="Tajawal" w:hint="cs"/>
        </w:rPr>
        <w:t>The SNPL business model is designed to be scalable and inclusive, relying on the following foundational features:</w:t>
      </w:r>
    </w:p>
    <w:p w14:paraId="5AC6708A" w14:textId="77777777" w:rsidR="00502065" w:rsidRPr="009A0155" w:rsidRDefault="00502065" w:rsidP="00502065">
      <w:pPr>
        <w:pStyle w:val="ListParagraph"/>
        <w:numPr>
          <w:ilvl w:val="0"/>
          <w:numId w:val="4"/>
        </w:numPr>
        <w:rPr>
          <w:rFonts w:ascii="Tajawal" w:hAnsi="Tajawal" w:cs="Tajawal"/>
        </w:rPr>
      </w:pPr>
      <w:r w:rsidRPr="009A0155">
        <w:rPr>
          <w:rFonts w:ascii="Tajawal" w:hAnsi="Tajawal" w:cs="Tajawal" w:hint="cs"/>
        </w:rPr>
        <w:t>Technology-Driven Operations: Real-time eligibility assessments powered by AI and machine learning ensure swift and accurate approvals, minimizing friction for consumers.</w:t>
      </w:r>
    </w:p>
    <w:p w14:paraId="09D85041" w14:textId="77777777" w:rsidR="00502065" w:rsidRPr="009A0155" w:rsidRDefault="00502065" w:rsidP="00502065">
      <w:pPr>
        <w:pStyle w:val="ListParagraph"/>
        <w:numPr>
          <w:ilvl w:val="0"/>
          <w:numId w:val="4"/>
        </w:numPr>
        <w:rPr>
          <w:rFonts w:ascii="Tajawal" w:hAnsi="Tajawal" w:cs="Tajawal"/>
        </w:rPr>
      </w:pPr>
      <w:r w:rsidRPr="009A0155">
        <w:rPr>
          <w:rFonts w:ascii="Tajawal" w:hAnsi="Tajawal" w:cs="Tajawal" w:hint="cs"/>
        </w:rPr>
        <w:t>Low Barrier to Entry: SNPL platforms are accessible to a broad demographic, including individuals who might not qualify for traditional credit systems.</w:t>
      </w:r>
    </w:p>
    <w:p w14:paraId="4A8B733A" w14:textId="77777777" w:rsidR="00502065" w:rsidRPr="009A0155" w:rsidRDefault="00502065" w:rsidP="00502065">
      <w:pPr>
        <w:pStyle w:val="ListParagraph"/>
        <w:numPr>
          <w:ilvl w:val="0"/>
          <w:numId w:val="4"/>
        </w:numPr>
        <w:rPr>
          <w:rFonts w:ascii="Tajawal" w:hAnsi="Tajawal" w:cs="Tajawal"/>
        </w:rPr>
      </w:pPr>
      <w:r w:rsidRPr="009A0155">
        <w:rPr>
          <w:rFonts w:ascii="Tajawal" w:hAnsi="Tajawal" w:cs="Tajawal" w:hint="cs"/>
        </w:rPr>
        <w:t>Partnership Ecosystem: SNPL providers collaborate with e-commerce platforms, service industries, and other merchants to embed deferred payment options directly into their checkout processes.</w:t>
      </w:r>
    </w:p>
    <w:p w14:paraId="62D058F3" w14:textId="77777777" w:rsidR="00502065" w:rsidRPr="009A0155" w:rsidRDefault="00502065" w:rsidP="00502065">
      <w:pPr>
        <w:pStyle w:val="Heading1"/>
        <w:rPr>
          <w:rFonts w:ascii="Tajawal" w:hAnsi="Tajawal" w:cs="Tajawal"/>
        </w:rPr>
      </w:pPr>
      <w:r w:rsidRPr="009A0155">
        <w:rPr>
          <w:rFonts w:ascii="Tajawal" w:hAnsi="Tajawal" w:cs="Tajawal" w:hint="cs"/>
        </w:rPr>
        <w:t>Impact on Businesses</w:t>
      </w:r>
    </w:p>
    <w:p w14:paraId="6DF15D28" w14:textId="77777777" w:rsidR="00502065" w:rsidRPr="009A0155" w:rsidRDefault="00502065" w:rsidP="00502065">
      <w:pPr>
        <w:rPr>
          <w:rFonts w:ascii="Tajawal" w:hAnsi="Tajawal" w:cs="Tajawal"/>
        </w:rPr>
      </w:pPr>
      <w:r w:rsidRPr="009A0155">
        <w:rPr>
          <w:rFonts w:ascii="Tajawal" w:hAnsi="Tajawal" w:cs="Tajawal" w:hint="cs"/>
        </w:rPr>
        <w:t>For sellers, the SNPL business model is transformative, offering multiple advantages:</w:t>
      </w:r>
    </w:p>
    <w:p w14:paraId="5F8FC389" w14:textId="77777777" w:rsidR="00502065" w:rsidRPr="009A0155" w:rsidRDefault="00502065" w:rsidP="00502065">
      <w:pPr>
        <w:pStyle w:val="ListParagraph"/>
        <w:numPr>
          <w:ilvl w:val="0"/>
          <w:numId w:val="5"/>
        </w:numPr>
        <w:rPr>
          <w:rFonts w:ascii="Tajawal" w:hAnsi="Tajawal" w:cs="Tajawal"/>
        </w:rPr>
      </w:pPr>
      <w:r w:rsidRPr="009A0155">
        <w:rPr>
          <w:rFonts w:ascii="Tajawal" w:hAnsi="Tajawal" w:cs="Tajawal" w:hint="cs"/>
        </w:rPr>
        <w:t>Boosted Sales: By reducing the financial hesitation of buyers, SNPL contributes to increased impulse purchases and higher average order values.</w:t>
      </w:r>
    </w:p>
    <w:p w14:paraId="294D504A" w14:textId="77777777" w:rsidR="00502065" w:rsidRPr="009A0155" w:rsidRDefault="00502065" w:rsidP="00502065">
      <w:pPr>
        <w:pStyle w:val="ListParagraph"/>
        <w:numPr>
          <w:ilvl w:val="0"/>
          <w:numId w:val="5"/>
        </w:numPr>
        <w:rPr>
          <w:rFonts w:ascii="Tajawal" w:hAnsi="Tajawal" w:cs="Tajawal"/>
        </w:rPr>
      </w:pPr>
      <w:r w:rsidRPr="009A0155">
        <w:rPr>
          <w:rFonts w:ascii="Tajawal" w:hAnsi="Tajawal" w:cs="Tajawal" w:hint="cs"/>
        </w:rPr>
        <w:t>Enhanced Customer Retention: Flexible payment options build trust and encourage repeat transactions, fostering long-term customer relationships.</w:t>
      </w:r>
    </w:p>
    <w:p w14:paraId="160DE17B" w14:textId="77777777" w:rsidR="00502065" w:rsidRPr="009A0155" w:rsidRDefault="00502065" w:rsidP="00502065">
      <w:pPr>
        <w:pStyle w:val="ListParagraph"/>
        <w:numPr>
          <w:ilvl w:val="0"/>
          <w:numId w:val="5"/>
        </w:numPr>
        <w:rPr>
          <w:rFonts w:ascii="Tajawal" w:hAnsi="Tajawal" w:cs="Tajawal"/>
        </w:rPr>
      </w:pPr>
      <w:r w:rsidRPr="009A0155">
        <w:rPr>
          <w:rFonts w:ascii="Tajawal" w:hAnsi="Tajawal" w:cs="Tajawal" w:hint="cs"/>
        </w:rPr>
        <w:lastRenderedPageBreak/>
        <w:t>Market Expansion: SNPL allows businesses to reach customers who may have avoided purchases due to immediate financial constraints.</w:t>
      </w:r>
    </w:p>
    <w:p w14:paraId="2D8FE0CF" w14:textId="77777777" w:rsidR="00502065" w:rsidRPr="009A0155" w:rsidRDefault="00502065" w:rsidP="00502065">
      <w:pPr>
        <w:pStyle w:val="Heading1"/>
        <w:rPr>
          <w:rFonts w:ascii="Tajawal" w:hAnsi="Tajawal" w:cs="Tajawal"/>
        </w:rPr>
      </w:pPr>
      <w:r w:rsidRPr="009A0155">
        <w:rPr>
          <w:rFonts w:ascii="Tajawal" w:hAnsi="Tajawal" w:cs="Tajawal" w:hint="cs"/>
        </w:rPr>
        <w:t>Challenges in Implementation</w:t>
      </w:r>
    </w:p>
    <w:p w14:paraId="03B036BA" w14:textId="77777777" w:rsidR="00502065" w:rsidRPr="009A0155" w:rsidRDefault="00502065" w:rsidP="00502065">
      <w:pPr>
        <w:rPr>
          <w:rFonts w:ascii="Tajawal" w:hAnsi="Tajawal" w:cs="Tajawal"/>
        </w:rPr>
      </w:pPr>
      <w:r w:rsidRPr="009A0155">
        <w:rPr>
          <w:rFonts w:ascii="Tajawal" w:hAnsi="Tajawal" w:cs="Tajawal" w:hint="cs"/>
        </w:rPr>
        <w:t>While the SNPL model holds great promise, businesses and providers must navigate certain challenges:</w:t>
      </w:r>
    </w:p>
    <w:p w14:paraId="1A3022AA" w14:textId="77777777" w:rsidR="00502065" w:rsidRPr="009A0155" w:rsidRDefault="00502065" w:rsidP="00502065">
      <w:pPr>
        <w:pStyle w:val="ListParagraph"/>
        <w:numPr>
          <w:ilvl w:val="0"/>
          <w:numId w:val="6"/>
        </w:numPr>
        <w:rPr>
          <w:rFonts w:ascii="Tajawal" w:hAnsi="Tajawal" w:cs="Tajawal"/>
        </w:rPr>
      </w:pPr>
      <w:r w:rsidRPr="009A0155">
        <w:rPr>
          <w:rFonts w:ascii="Tajawal" w:hAnsi="Tajawal" w:cs="Tajawal" w:hint="cs"/>
        </w:rPr>
        <w:t>Risk Management: Default payments by consumers can impact profitability, requiring robust risk assessment algorithms and fraud prevention mechanisms.</w:t>
      </w:r>
    </w:p>
    <w:p w14:paraId="43AE83DD" w14:textId="77777777" w:rsidR="00502065" w:rsidRPr="009A0155" w:rsidRDefault="00502065" w:rsidP="00502065">
      <w:pPr>
        <w:pStyle w:val="ListParagraph"/>
        <w:numPr>
          <w:ilvl w:val="0"/>
          <w:numId w:val="6"/>
        </w:numPr>
        <w:rPr>
          <w:rFonts w:ascii="Tajawal" w:hAnsi="Tajawal" w:cs="Tajawal"/>
        </w:rPr>
      </w:pPr>
      <w:r w:rsidRPr="009A0155">
        <w:rPr>
          <w:rFonts w:ascii="Tajawal" w:hAnsi="Tajawal" w:cs="Tajawal" w:hint="cs"/>
        </w:rPr>
        <w:t>Regulatory Compliance: As SNPL grows, adherence to financial regulations becomes crucial to avoiding legal and ethical pitfalls.</w:t>
      </w:r>
    </w:p>
    <w:p w14:paraId="1905804B" w14:textId="77777777" w:rsidR="00502065" w:rsidRPr="009A0155" w:rsidRDefault="00502065" w:rsidP="00502065">
      <w:pPr>
        <w:pStyle w:val="ListParagraph"/>
        <w:numPr>
          <w:ilvl w:val="0"/>
          <w:numId w:val="6"/>
        </w:numPr>
        <w:rPr>
          <w:rFonts w:ascii="Tajawal" w:hAnsi="Tajawal" w:cs="Tajawal"/>
        </w:rPr>
      </w:pPr>
      <w:r w:rsidRPr="009A0155">
        <w:rPr>
          <w:rFonts w:ascii="Tajawal" w:hAnsi="Tajawal" w:cs="Tajawal" w:hint="cs"/>
        </w:rPr>
        <w:t>Operational Costs: Maintaining advanced technological infrastructure and customer support systems can be resource-intensive.</w:t>
      </w:r>
    </w:p>
    <w:p w14:paraId="031769E8" w14:textId="77777777" w:rsidR="00502065" w:rsidRPr="009A0155" w:rsidRDefault="00502065" w:rsidP="00502065">
      <w:pPr>
        <w:pStyle w:val="Heading1"/>
        <w:rPr>
          <w:rFonts w:ascii="Tajawal" w:hAnsi="Tajawal" w:cs="Tajawal"/>
        </w:rPr>
      </w:pPr>
      <w:r w:rsidRPr="009A0155">
        <w:rPr>
          <w:rFonts w:ascii="Tajawal" w:hAnsi="Tajawal" w:cs="Tajawal" w:hint="cs"/>
        </w:rPr>
        <w:t>Conclusion</w:t>
      </w:r>
    </w:p>
    <w:p w14:paraId="3446A6A6" w14:textId="77777777" w:rsidR="00502065" w:rsidRPr="009A0155" w:rsidRDefault="00502065" w:rsidP="00502065">
      <w:pPr>
        <w:rPr>
          <w:rFonts w:ascii="Tajawal" w:hAnsi="Tajawal" w:cs="Tajawal"/>
        </w:rPr>
      </w:pPr>
      <w:r w:rsidRPr="009A0155">
        <w:rPr>
          <w:rFonts w:ascii="Tajawal" w:hAnsi="Tajawal" w:cs="Tajawal" w:hint="cs"/>
        </w:rPr>
        <w:t>The business model of Send Now, Pay Later is a paradigm shift in financial transactions, merging instant delivery with payment flexibility. By leveraging technology, partnerships, and innovative strategies, SNPL empowers both consumers and businesses, driving growth and satisfaction across industries. However, careful management of risks and regulatory concerns is essential to ensuring its long-term success.</w:t>
      </w:r>
    </w:p>
    <w:p w14:paraId="1573FF15" w14:textId="77777777" w:rsidR="00502065" w:rsidRPr="009A0155" w:rsidRDefault="00502065" w:rsidP="00502065">
      <w:pPr>
        <w:rPr>
          <w:rFonts w:ascii="Tajawal" w:hAnsi="Tajawal" w:cs="Tajawal"/>
        </w:rPr>
      </w:pPr>
    </w:p>
    <w:p w14:paraId="524F5563" w14:textId="77777777" w:rsidR="00ED43EC" w:rsidRPr="009A0155" w:rsidRDefault="00ED43EC" w:rsidP="00401C50">
      <w:pPr>
        <w:pStyle w:val="Heading1"/>
        <w:rPr>
          <w:rFonts w:ascii="Tajawal" w:hAnsi="Tajawal" w:cs="Tajawal"/>
        </w:rPr>
      </w:pPr>
      <w:r w:rsidRPr="009A0155">
        <w:rPr>
          <w:rFonts w:ascii="Tajawal" w:hAnsi="Tajawal" w:cs="Tajawal" w:hint="cs"/>
        </w:rPr>
        <w:t>Risks Associated with Send Now, Pay Later</w:t>
      </w:r>
    </w:p>
    <w:p w14:paraId="488BAA34" w14:textId="77777777" w:rsidR="00ED43EC" w:rsidRPr="009A0155" w:rsidRDefault="00ED43EC" w:rsidP="00ED43EC">
      <w:pPr>
        <w:pStyle w:val="Subtitle"/>
        <w:rPr>
          <w:rFonts w:ascii="Tajawal" w:hAnsi="Tajawal" w:cs="Tajawal"/>
        </w:rPr>
      </w:pPr>
      <w:r w:rsidRPr="009A0155">
        <w:rPr>
          <w:rFonts w:ascii="Tajawal" w:hAnsi="Tajawal" w:cs="Tajawal" w:hint="cs"/>
        </w:rPr>
        <w:t>Challenges in the SNPL Business Model</w:t>
      </w:r>
    </w:p>
    <w:p w14:paraId="310D74AB" w14:textId="77777777" w:rsidR="00ED43EC" w:rsidRPr="009A0155" w:rsidRDefault="00ED43EC" w:rsidP="00ED43EC">
      <w:pPr>
        <w:rPr>
          <w:rFonts w:ascii="Tajawal" w:hAnsi="Tajawal" w:cs="Tajawal"/>
        </w:rPr>
      </w:pPr>
      <w:r w:rsidRPr="009A0155">
        <w:rPr>
          <w:rFonts w:ascii="Tajawal" w:hAnsi="Tajawal" w:cs="Tajawal" w:hint="cs"/>
        </w:rPr>
        <w:t>The Send Now, Pay Later (SNPL) model, while offering significant advantages for consumers and businesses alike, comes with inherent risks that require proactive management to ensure sustainability and profitability.</w:t>
      </w:r>
    </w:p>
    <w:p w14:paraId="6C418D8C" w14:textId="77777777" w:rsidR="00ED43EC" w:rsidRPr="009A0155" w:rsidRDefault="00ED43EC" w:rsidP="00ED43EC">
      <w:pPr>
        <w:pStyle w:val="Heading1"/>
        <w:rPr>
          <w:rFonts w:ascii="Tajawal" w:hAnsi="Tajawal" w:cs="Tajawal"/>
        </w:rPr>
      </w:pPr>
      <w:r w:rsidRPr="009A0155">
        <w:rPr>
          <w:rFonts w:ascii="Tajawal" w:hAnsi="Tajawal" w:cs="Tajawal" w:hint="cs"/>
        </w:rPr>
        <w:t>Key Risks in the SNPL Model</w:t>
      </w:r>
    </w:p>
    <w:p w14:paraId="29E0345D" w14:textId="77777777" w:rsidR="00ED43EC" w:rsidRPr="009A0155" w:rsidRDefault="00ED43EC" w:rsidP="00ED43EC">
      <w:pPr>
        <w:pStyle w:val="Heading2"/>
        <w:rPr>
          <w:rFonts w:ascii="Tajawal" w:hAnsi="Tajawal" w:cs="Tajawal"/>
        </w:rPr>
      </w:pPr>
      <w:r w:rsidRPr="009A0155">
        <w:rPr>
          <w:rFonts w:ascii="Tajawal" w:hAnsi="Tajawal" w:cs="Tajawal" w:hint="cs"/>
        </w:rPr>
        <w:t>1. Risk Management</w:t>
      </w:r>
    </w:p>
    <w:p w14:paraId="19459B0B" w14:textId="77777777" w:rsidR="00ED43EC" w:rsidRPr="009A0155" w:rsidRDefault="00ED43EC" w:rsidP="00ED43EC">
      <w:pPr>
        <w:pStyle w:val="ListParagraph"/>
        <w:numPr>
          <w:ilvl w:val="0"/>
          <w:numId w:val="7"/>
        </w:numPr>
        <w:rPr>
          <w:rFonts w:ascii="Tajawal" w:hAnsi="Tajawal" w:cs="Tajawal"/>
        </w:rPr>
      </w:pPr>
      <w:r w:rsidRPr="009A0155">
        <w:rPr>
          <w:rFonts w:ascii="Tajawal" w:hAnsi="Tajawal" w:cs="Tajawal" w:hint="cs"/>
        </w:rPr>
        <w:t>Default Payments: One of the major challenges is the risk of consumers failing to meet payment deadlines, leading to financial losses for providers and merchants. This necessitates robust risk assessment algorithms to evaluate customer creditworthiness and implement measures to mitigate defaults.</w:t>
      </w:r>
    </w:p>
    <w:p w14:paraId="1E59C4DF" w14:textId="77777777" w:rsidR="00ED43EC" w:rsidRPr="009A0155" w:rsidRDefault="00ED43EC" w:rsidP="00ED43EC">
      <w:pPr>
        <w:pStyle w:val="ListParagraph"/>
        <w:numPr>
          <w:ilvl w:val="0"/>
          <w:numId w:val="7"/>
        </w:numPr>
        <w:rPr>
          <w:rFonts w:ascii="Tajawal" w:hAnsi="Tajawal" w:cs="Tajawal"/>
        </w:rPr>
      </w:pPr>
      <w:r w:rsidRPr="009A0155">
        <w:rPr>
          <w:rFonts w:ascii="Tajawal" w:hAnsi="Tajawal" w:cs="Tajawal" w:hint="cs"/>
        </w:rPr>
        <w:lastRenderedPageBreak/>
        <w:t>Fraud Prevention: The model is susceptible to fraudulent activities, such as identity theft and false payment claims. Advanced fraud detection systems and continuous monitoring are essential.</w:t>
      </w:r>
    </w:p>
    <w:p w14:paraId="74E26A9D" w14:textId="77777777" w:rsidR="00ED43EC" w:rsidRPr="009A0155" w:rsidRDefault="00ED43EC" w:rsidP="00ED43EC">
      <w:pPr>
        <w:pStyle w:val="Heading2"/>
        <w:rPr>
          <w:rFonts w:ascii="Tajawal" w:hAnsi="Tajawal" w:cs="Tajawal"/>
        </w:rPr>
      </w:pPr>
      <w:r w:rsidRPr="009A0155">
        <w:rPr>
          <w:rFonts w:ascii="Tajawal" w:hAnsi="Tajawal" w:cs="Tajawal" w:hint="cs"/>
        </w:rPr>
        <w:t>2. Regulatory Compliance</w:t>
      </w:r>
    </w:p>
    <w:p w14:paraId="2D20ED71" w14:textId="77777777" w:rsidR="00ED43EC" w:rsidRPr="009A0155" w:rsidRDefault="00ED43EC" w:rsidP="00ED43EC">
      <w:pPr>
        <w:pStyle w:val="ListParagraph"/>
        <w:numPr>
          <w:ilvl w:val="0"/>
          <w:numId w:val="8"/>
        </w:numPr>
        <w:rPr>
          <w:rFonts w:ascii="Tajawal" w:hAnsi="Tajawal" w:cs="Tajawal"/>
        </w:rPr>
      </w:pPr>
      <w:r w:rsidRPr="009A0155">
        <w:rPr>
          <w:rFonts w:ascii="Tajawal" w:hAnsi="Tajawal" w:cs="Tajawal" w:hint="cs"/>
        </w:rPr>
        <w:t>Financial Regulations: As SNPL grows in popularity, governments and financial oversight bodies impose stringent regulations to ensure transparency and fairness. Providers must adhere to these rules to avoid legal consequences and maintain ethical practices.</w:t>
      </w:r>
    </w:p>
    <w:p w14:paraId="6341CACF" w14:textId="77777777" w:rsidR="00ED43EC" w:rsidRPr="009A0155" w:rsidRDefault="00ED43EC" w:rsidP="00ED43EC">
      <w:pPr>
        <w:pStyle w:val="ListParagraph"/>
        <w:numPr>
          <w:ilvl w:val="0"/>
          <w:numId w:val="8"/>
        </w:numPr>
        <w:rPr>
          <w:rFonts w:ascii="Tajawal" w:hAnsi="Tajawal" w:cs="Tajawal"/>
        </w:rPr>
      </w:pPr>
      <w:r w:rsidRPr="009A0155">
        <w:rPr>
          <w:rFonts w:ascii="Tajawal" w:hAnsi="Tajawal" w:cs="Tajawal" w:hint="cs"/>
        </w:rPr>
        <w:t>Consumer Protection Laws: Regulatory frameworks often mandate clear communication of payment terms and conditions to prevent exploitation of vulnerable consumers.</w:t>
      </w:r>
    </w:p>
    <w:p w14:paraId="6E0E6154" w14:textId="77777777" w:rsidR="00ED43EC" w:rsidRPr="009A0155" w:rsidRDefault="00ED43EC" w:rsidP="00ED43EC">
      <w:pPr>
        <w:pStyle w:val="Heading2"/>
        <w:rPr>
          <w:rFonts w:ascii="Tajawal" w:hAnsi="Tajawal" w:cs="Tajawal"/>
        </w:rPr>
      </w:pPr>
      <w:r w:rsidRPr="009A0155">
        <w:rPr>
          <w:rFonts w:ascii="Tajawal" w:hAnsi="Tajawal" w:cs="Tajawal" w:hint="cs"/>
        </w:rPr>
        <w:t>3. Operational Costs</w:t>
      </w:r>
    </w:p>
    <w:p w14:paraId="38B8D691" w14:textId="77777777" w:rsidR="00ED43EC" w:rsidRPr="009A0155" w:rsidRDefault="00ED43EC" w:rsidP="00ED43EC">
      <w:pPr>
        <w:pStyle w:val="ListParagraph"/>
        <w:numPr>
          <w:ilvl w:val="0"/>
          <w:numId w:val="9"/>
        </w:numPr>
        <w:rPr>
          <w:rFonts w:ascii="Tajawal" w:hAnsi="Tajawal" w:cs="Tajawal"/>
        </w:rPr>
      </w:pPr>
      <w:r w:rsidRPr="009A0155">
        <w:rPr>
          <w:rFonts w:ascii="Tajawal" w:hAnsi="Tajawal" w:cs="Tajawal" w:hint="cs"/>
        </w:rPr>
        <w:t>Technology Investments: Maintaining advanced technological infrastructure, such as real-time credit checks, risk assessment tools, and fraud prevention mechanisms, can be capital-intensive.</w:t>
      </w:r>
    </w:p>
    <w:p w14:paraId="260C46AE" w14:textId="77777777" w:rsidR="00ED43EC" w:rsidRPr="009A0155" w:rsidRDefault="00ED43EC" w:rsidP="00ED43EC">
      <w:pPr>
        <w:pStyle w:val="ListParagraph"/>
        <w:numPr>
          <w:ilvl w:val="0"/>
          <w:numId w:val="9"/>
        </w:numPr>
        <w:rPr>
          <w:rFonts w:ascii="Tajawal" w:hAnsi="Tajawal" w:cs="Tajawal"/>
        </w:rPr>
      </w:pPr>
      <w:r w:rsidRPr="009A0155">
        <w:rPr>
          <w:rFonts w:ascii="Tajawal" w:hAnsi="Tajawal" w:cs="Tajawal" w:hint="cs"/>
        </w:rPr>
        <w:t>Customer Support: Effective customer service systems are critical for resolving disputes and managing payment schedules, adding to ongoing operational expenses.</w:t>
      </w:r>
    </w:p>
    <w:p w14:paraId="4000380F" w14:textId="77777777" w:rsidR="00ED43EC" w:rsidRPr="009A0155" w:rsidRDefault="00ED43EC" w:rsidP="00ED43EC">
      <w:pPr>
        <w:pStyle w:val="Heading2"/>
        <w:rPr>
          <w:rFonts w:ascii="Tajawal" w:hAnsi="Tajawal" w:cs="Tajawal"/>
        </w:rPr>
      </w:pPr>
      <w:r w:rsidRPr="009A0155">
        <w:rPr>
          <w:rFonts w:ascii="Tajawal" w:hAnsi="Tajawal" w:cs="Tajawal" w:hint="cs"/>
        </w:rPr>
        <w:t>4. Consumer Debt</w:t>
      </w:r>
    </w:p>
    <w:p w14:paraId="63736FCA" w14:textId="77777777" w:rsidR="00ED43EC" w:rsidRPr="009A0155" w:rsidRDefault="00ED43EC" w:rsidP="00ED43EC">
      <w:pPr>
        <w:pStyle w:val="ListParagraph"/>
        <w:numPr>
          <w:ilvl w:val="0"/>
          <w:numId w:val="10"/>
        </w:numPr>
        <w:rPr>
          <w:rFonts w:ascii="Tajawal" w:hAnsi="Tajawal" w:cs="Tajawal"/>
        </w:rPr>
      </w:pPr>
      <w:r w:rsidRPr="009A0155">
        <w:rPr>
          <w:rFonts w:ascii="Tajawal" w:hAnsi="Tajawal" w:cs="Tajawal" w:hint="cs"/>
        </w:rPr>
        <w:t>Overspending Risk: The convenience of deferred payments may encourage consumers to overspend, leading to financial strain, debt accumulation, and potential reputational risks for SNPL providers.</w:t>
      </w:r>
    </w:p>
    <w:p w14:paraId="5E947824" w14:textId="77777777" w:rsidR="00ED43EC" w:rsidRPr="009A0155" w:rsidRDefault="00ED43EC" w:rsidP="00ED43EC">
      <w:pPr>
        <w:pStyle w:val="Heading1"/>
        <w:rPr>
          <w:rFonts w:ascii="Tajawal" w:hAnsi="Tajawal" w:cs="Tajawal"/>
        </w:rPr>
      </w:pPr>
      <w:r w:rsidRPr="009A0155">
        <w:rPr>
          <w:rFonts w:ascii="Tajawal" w:hAnsi="Tajawal" w:cs="Tajawal" w:hint="cs"/>
        </w:rPr>
        <w:t>Mitigating Risks</w:t>
      </w:r>
    </w:p>
    <w:p w14:paraId="00D1DC2B" w14:textId="77777777" w:rsidR="00ED43EC" w:rsidRPr="009A0155" w:rsidRDefault="00ED43EC" w:rsidP="00ED43EC">
      <w:pPr>
        <w:rPr>
          <w:rFonts w:ascii="Tajawal" w:hAnsi="Tajawal" w:cs="Tajawal"/>
        </w:rPr>
      </w:pPr>
      <w:r w:rsidRPr="009A0155">
        <w:rPr>
          <w:rFonts w:ascii="Tajawal" w:hAnsi="Tajawal" w:cs="Tajawal" w:hint="cs"/>
        </w:rPr>
        <w:t>Addressing these risks is vital to achieving long-term success in the SNPL sector. Providers can adopt the following strategies:</w:t>
      </w:r>
    </w:p>
    <w:p w14:paraId="0DF7FDFE" w14:textId="77777777" w:rsidR="00ED43EC" w:rsidRPr="009A0155" w:rsidRDefault="00ED43EC" w:rsidP="00ED43EC">
      <w:pPr>
        <w:pStyle w:val="ListParagraph"/>
        <w:numPr>
          <w:ilvl w:val="0"/>
          <w:numId w:val="11"/>
        </w:numPr>
        <w:rPr>
          <w:rFonts w:ascii="Tajawal" w:hAnsi="Tajawal" w:cs="Tajawal"/>
        </w:rPr>
      </w:pPr>
      <w:r w:rsidRPr="009A0155">
        <w:rPr>
          <w:rFonts w:ascii="Tajawal" w:hAnsi="Tajawal" w:cs="Tajawal" w:hint="cs"/>
        </w:rPr>
        <w:t>Implementing robust risk assessment algorithms to evaluate consumer creditworthiness.</w:t>
      </w:r>
    </w:p>
    <w:p w14:paraId="7DD7BEBB" w14:textId="77777777" w:rsidR="00ED43EC" w:rsidRPr="009A0155" w:rsidRDefault="00ED43EC" w:rsidP="00ED43EC">
      <w:pPr>
        <w:pStyle w:val="ListParagraph"/>
        <w:numPr>
          <w:ilvl w:val="0"/>
          <w:numId w:val="11"/>
        </w:numPr>
        <w:rPr>
          <w:rFonts w:ascii="Tajawal" w:hAnsi="Tajawal" w:cs="Tajawal"/>
        </w:rPr>
      </w:pPr>
      <w:r w:rsidRPr="009A0155">
        <w:rPr>
          <w:rFonts w:ascii="Tajawal" w:hAnsi="Tajawal" w:cs="Tajawal" w:hint="cs"/>
        </w:rPr>
        <w:t>Investing in advanced security systems to detect and prevent fraud.</w:t>
      </w:r>
    </w:p>
    <w:p w14:paraId="58BCFFE2" w14:textId="77777777" w:rsidR="00ED43EC" w:rsidRPr="009A0155" w:rsidRDefault="00ED43EC" w:rsidP="00ED43EC">
      <w:pPr>
        <w:pStyle w:val="ListParagraph"/>
        <w:numPr>
          <w:ilvl w:val="0"/>
          <w:numId w:val="11"/>
        </w:numPr>
        <w:rPr>
          <w:rFonts w:ascii="Tajawal" w:hAnsi="Tajawal" w:cs="Tajawal"/>
        </w:rPr>
      </w:pPr>
      <w:r w:rsidRPr="009A0155">
        <w:rPr>
          <w:rFonts w:ascii="Tajawal" w:hAnsi="Tajawal" w:cs="Tajawal" w:hint="cs"/>
        </w:rPr>
        <w:t>Ensuring compliance with legal and financial regulations through transparent policies and practices.</w:t>
      </w:r>
    </w:p>
    <w:p w14:paraId="65B17191" w14:textId="77777777" w:rsidR="00ED43EC" w:rsidRPr="009A0155" w:rsidRDefault="00ED43EC" w:rsidP="00ED43EC">
      <w:pPr>
        <w:pStyle w:val="ListParagraph"/>
        <w:numPr>
          <w:ilvl w:val="0"/>
          <w:numId w:val="11"/>
        </w:numPr>
        <w:rPr>
          <w:rFonts w:ascii="Tajawal" w:hAnsi="Tajawal" w:cs="Tajawal"/>
        </w:rPr>
      </w:pPr>
      <w:r w:rsidRPr="009A0155">
        <w:rPr>
          <w:rFonts w:ascii="Tajawal" w:hAnsi="Tajawal" w:cs="Tajawal" w:hint="cs"/>
        </w:rPr>
        <w:t>Educating consumers about responsible borrowing practices to minimize debt accumulation.</w:t>
      </w:r>
    </w:p>
    <w:p w14:paraId="635EBA2A" w14:textId="77777777" w:rsidR="00ED43EC" w:rsidRPr="009A0155" w:rsidRDefault="00ED43EC" w:rsidP="00ED43EC">
      <w:pPr>
        <w:pStyle w:val="Heading1"/>
        <w:rPr>
          <w:rFonts w:ascii="Tajawal" w:hAnsi="Tajawal" w:cs="Tajawal"/>
        </w:rPr>
      </w:pPr>
      <w:r w:rsidRPr="009A0155">
        <w:rPr>
          <w:rFonts w:ascii="Tajawal" w:hAnsi="Tajawal" w:cs="Tajawal" w:hint="cs"/>
        </w:rPr>
        <w:t>Conclusion</w:t>
      </w:r>
    </w:p>
    <w:p w14:paraId="4418CC14" w14:textId="77777777" w:rsidR="00ED43EC" w:rsidRPr="009A0155" w:rsidRDefault="00ED43EC" w:rsidP="00ED43EC">
      <w:pPr>
        <w:rPr>
          <w:rFonts w:ascii="Tajawal" w:hAnsi="Tajawal" w:cs="Tajawal"/>
        </w:rPr>
      </w:pPr>
      <w:r w:rsidRPr="009A0155">
        <w:rPr>
          <w:rFonts w:ascii="Tajawal" w:hAnsi="Tajawal" w:cs="Tajawal" w:hint="cs"/>
        </w:rPr>
        <w:t>While the SNPL model presents significant opportunities for growth and innovation, understanding and mitigating associated risks is essential. By addressing challenges such as default payments, regulatory compliance, operational costs, and consumer debt, SNPL providers can ensure a sustainable and profitable business model while fostering trust and loyalty among consumers and merchants.</w:t>
      </w:r>
    </w:p>
    <w:p w14:paraId="377E92E9" w14:textId="77777777" w:rsidR="003E4A6B" w:rsidRPr="009A0155" w:rsidRDefault="003E4A6B" w:rsidP="003E4A6B">
      <w:pPr>
        <w:pStyle w:val="Title"/>
        <w:rPr>
          <w:rFonts w:ascii="Tajawal" w:hAnsi="Tajawal" w:cs="Tajawal"/>
        </w:rPr>
      </w:pPr>
      <w:r w:rsidRPr="009A0155">
        <w:rPr>
          <w:rFonts w:ascii="Tajawal" w:hAnsi="Tajawal" w:cs="Tajawal" w:hint="cs"/>
        </w:rPr>
        <w:lastRenderedPageBreak/>
        <w:t>Send Now, Pay Later Business Model Canvas</w:t>
      </w:r>
    </w:p>
    <w:p w14:paraId="0DD6CAAA" w14:textId="77777777" w:rsidR="003E4A6B" w:rsidRPr="009A0155" w:rsidRDefault="003E4A6B" w:rsidP="003E4A6B">
      <w:pPr>
        <w:pStyle w:val="Heading1"/>
        <w:rPr>
          <w:rFonts w:ascii="Tajawal" w:hAnsi="Tajawal" w:cs="Tajawal"/>
        </w:rPr>
      </w:pPr>
      <w:r w:rsidRPr="009A0155">
        <w:rPr>
          <w:rFonts w:ascii="Tajawal" w:hAnsi="Tajawal" w:cs="Tajawal" w:hint="cs"/>
        </w:rPr>
        <w:t>Key Partners</w:t>
      </w:r>
    </w:p>
    <w:p w14:paraId="0429A351" w14:textId="77777777" w:rsidR="003E4A6B" w:rsidRPr="009A0155" w:rsidRDefault="003E4A6B" w:rsidP="003E4A6B">
      <w:pPr>
        <w:pStyle w:val="ListParagraph"/>
        <w:numPr>
          <w:ilvl w:val="0"/>
          <w:numId w:val="12"/>
        </w:numPr>
        <w:rPr>
          <w:rFonts w:ascii="Tajawal" w:hAnsi="Tajawal" w:cs="Tajawal"/>
        </w:rPr>
      </w:pPr>
      <w:r w:rsidRPr="009A0155">
        <w:rPr>
          <w:rFonts w:ascii="Tajawal" w:hAnsi="Tajawal" w:cs="Tajawal" w:hint="cs"/>
        </w:rPr>
        <w:t>Payment gateway providers for seamless transactions</w:t>
      </w:r>
    </w:p>
    <w:p w14:paraId="4C6B1FCF" w14:textId="77777777" w:rsidR="003E4A6B" w:rsidRPr="009A0155" w:rsidRDefault="003E4A6B" w:rsidP="003E4A6B">
      <w:pPr>
        <w:pStyle w:val="ListParagraph"/>
        <w:numPr>
          <w:ilvl w:val="0"/>
          <w:numId w:val="12"/>
        </w:numPr>
        <w:rPr>
          <w:rFonts w:ascii="Tajawal" w:hAnsi="Tajawal" w:cs="Tajawal"/>
        </w:rPr>
      </w:pPr>
      <w:r w:rsidRPr="009A0155">
        <w:rPr>
          <w:rFonts w:ascii="Tajawal" w:hAnsi="Tajawal" w:cs="Tajawal" w:hint="cs"/>
        </w:rPr>
        <w:t>Credit bureaus for customer credit checks</w:t>
      </w:r>
    </w:p>
    <w:p w14:paraId="44B029AE" w14:textId="77777777" w:rsidR="003E4A6B" w:rsidRPr="009A0155" w:rsidRDefault="003E4A6B" w:rsidP="003E4A6B">
      <w:pPr>
        <w:pStyle w:val="ListParagraph"/>
        <w:numPr>
          <w:ilvl w:val="0"/>
          <w:numId w:val="12"/>
        </w:numPr>
        <w:rPr>
          <w:rFonts w:ascii="Tajawal" w:hAnsi="Tajawal" w:cs="Tajawal"/>
        </w:rPr>
      </w:pPr>
      <w:r w:rsidRPr="009A0155">
        <w:rPr>
          <w:rFonts w:ascii="Tajawal" w:hAnsi="Tajawal" w:cs="Tajawal" w:hint="cs"/>
        </w:rPr>
        <w:t>E-commerce platforms for integration</w:t>
      </w:r>
    </w:p>
    <w:p w14:paraId="353BDE1D" w14:textId="77777777" w:rsidR="003E4A6B" w:rsidRPr="009A0155" w:rsidRDefault="003E4A6B" w:rsidP="003E4A6B">
      <w:pPr>
        <w:pStyle w:val="ListParagraph"/>
        <w:numPr>
          <w:ilvl w:val="0"/>
          <w:numId w:val="12"/>
        </w:numPr>
        <w:rPr>
          <w:rFonts w:ascii="Tajawal" w:hAnsi="Tajawal" w:cs="Tajawal"/>
        </w:rPr>
      </w:pPr>
      <w:r w:rsidRPr="009A0155">
        <w:rPr>
          <w:rFonts w:ascii="Tajawal" w:hAnsi="Tajawal" w:cs="Tajawal" w:hint="cs"/>
        </w:rPr>
        <w:t>Logistics and delivery companies for rapid product dispatch</w:t>
      </w:r>
    </w:p>
    <w:p w14:paraId="54C4D992" w14:textId="77777777" w:rsidR="003E4A6B" w:rsidRPr="009A0155" w:rsidRDefault="003E4A6B" w:rsidP="003E4A6B">
      <w:pPr>
        <w:pStyle w:val="ListParagraph"/>
        <w:numPr>
          <w:ilvl w:val="0"/>
          <w:numId w:val="12"/>
        </w:numPr>
        <w:rPr>
          <w:rFonts w:ascii="Tajawal" w:hAnsi="Tajawal" w:cs="Tajawal"/>
        </w:rPr>
      </w:pPr>
      <w:r w:rsidRPr="009A0155">
        <w:rPr>
          <w:rFonts w:ascii="Tajawal" w:hAnsi="Tajawal" w:cs="Tajawal" w:hint="cs"/>
        </w:rPr>
        <w:t>Banks and financial institutions for funding and credit services</w:t>
      </w:r>
    </w:p>
    <w:p w14:paraId="1EDBAA7B" w14:textId="77777777" w:rsidR="003E4A6B" w:rsidRPr="009A0155" w:rsidRDefault="003E4A6B" w:rsidP="003E4A6B">
      <w:pPr>
        <w:pStyle w:val="Heading1"/>
        <w:rPr>
          <w:rFonts w:ascii="Tajawal" w:hAnsi="Tajawal" w:cs="Tajawal"/>
        </w:rPr>
      </w:pPr>
      <w:r w:rsidRPr="009A0155">
        <w:rPr>
          <w:rFonts w:ascii="Tajawal" w:hAnsi="Tajawal" w:cs="Tajawal" w:hint="cs"/>
        </w:rPr>
        <w:t>Key Activities</w:t>
      </w:r>
    </w:p>
    <w:p w14:paraId="6C27EE7F" w14:textId="77777777" w:rsidR="003E4A6B" w:rsidRPr="009A0155" w:rsidRDefault="003E4A6B" w:rsidP="003E4A6B">
      <w:pPr>
        <w:pStyle w:val="ListParagraph"/>
        <w:numPr>
          <w:ilvl w:val="0"/>
          <w:numId w:val="13"/>
        </w:numPr>
        <w:rPr>
          <w:rFonts w:ascii="Tajawal" w:hAnsi="Tajawal" w:cs="Tajawal"/>
        </w:rPr>
      </w:pPr>
      <w:r w:rsidRPr="009A0155">
        <w:rPr>
          <w:rFonts w:ascii="Tajawal" w:hAnsi="Tajawal" w:cs="Tajawal" w:hint="cs"/>
        </w:rPr>
        <w:t>Processing and approving deferred payment requests</w:t>
      </w:r>
    </w:p>
    <w:p w14:paraId="52F578B8" w14:textId="77777777" w:rsidR="003E4A6B" w:rsidRPr="009A0155" w:rsidRDefault="003E4A6B" w:rsidP="003E4A6B">
      <w:pPr>
        <w:pStyle w:val="ListParagraph"/>
        <w:numPr>
          <w:ilvl w:val="0"/>
          <w:numId w:val="13"/>
        </w:numPr>
        <w:rPr>
          <w:rFonts w:ascii="Tajawal" w:hAnsi="Tajawal" w:cs="Tajawal"/>
        </w:rPr>
      </w:pPr>
      <w:r w:rsidRPr="009A0155">
        <w:rPr>
          <w:rFonts w:ascii="Tajawal" w:hAnsi="Tajawal" w:cs="Tajawal" w:hint="cs"/>
        </w:rPr>
        <w:t>Ensuring timely delivery of goods</w:t>
      </w:r>
    </w:p>
    <w:p w14:paraId="2E250AFA" w14:textId="77777777" w:rsidR="003E4A6B" w:rsidRPr="009A0155" w:rsidRDefault="003E4A6B" w:rsidP="003E4A6B">
      <w:pPr>
        <w:pStyle w:val="ListParagraph"/>
        <w:numPr>
          <w:ilvl w:val="0"/>
          <w:numId w:val="13"/>
        </w:numPr>
        <w:rPr>
          <w:rFonts w:ascii="Tajawal" w:hAnsi="Tajawal" w:cs="Tajawal"/>
        </w:rPr>
      </w:pPr>
      <w:r w:rsidRPr="009A0155">
        <w:rPr>
          <w:rFonts w:ascii="Tajawal" w:hAnsi="Tajawal" w:cs="Tajawal" w:hint="cs"/>
        </w:rPr>
        <w:t>Managing customer credit risk</w:t>
      </w:r>
    </w:p>
    <w:p w14:paraId="5E22F462" w14:textId="77777777" w:rsidR="003E4A6B" w:rsidRPr="009A0155" w:rsidRDefault="003E4A6B" w:rsidP="003E4A6B">
      <w:pPr>
        <w:pStyle w:val="ListParagraph"/>
        <w:numPr>
          <w:ilvl w:val="0"/>
          <w:numId w:val="13"/>
        </w:numPr>
        <w:rPr>
          <w:rFonts w:ascii="Tajawal" w:hAnsi="Tajawal" w:cs="Tajawal"/>
        </w:rPr>
      </w:pPr>
      <w:r w:rsidRPr="009A0155">
        <w:rPr>
          <w:rFonts w:ascii="Tajawal" w:hAnsi="Tajawal" w:cs="Tajawal" w:hint="cs"/>
        </w:rPr>
        <w:t>Developing and maintaining the platform for smooth user experience</w:t>
      </w:r>
    </w:p>
    <w:p w14:paraId="7E062C17" w14:textId="77777777" w:rsidR="003E4A6B" w:rsidRPr="009A0155" w:rsidRDefault="003E4A6B" w:rsidP="003E4A6B">
      <w:pPr>
        <w:pStyle w:val="ListParagraph"/>
        <w:numPr>
          <w:ilvl w:val="0"/>
          <w:numId w:val="13"/>
        </w:numPr>
        <w:rPr>
          <w:rFonts w:ascii="Tajawal" w:hAnsi="Tajawal" w:cs="Tajawal"/>
        </w:rPr>
      </w:pPr>
      <w:r w:rsidRPr="009A0155">
        <w:rPr>
          <w:rFonts w:ascii="Tajawal" w:hAnsi="Tajawal" w:cs="Tajawal" w:hint="cs"/>
        </w:rPr>
        <w:t>Marketing and customer acquisition</w:t>
      </w:r>
    </w:p>
    <w:p w14:paraId="4DD65C0D" w14:textId="77777777" w:rsidR="003E4A6B" w:rsidRPr="009A0155" w:rsidRDefault="003E4A6B" w:rsidP="003E4A6B">
      <w:pPr>
        <w:pStyle w:val="Heading1"/>
        <w:rPr>
          <w:rFonts w:ascii="Tajawal" w:hAnsi="Tajawal" w:cs="Tajawal"/>
        </w:rPr>
      </w:pPr>
      <w:r w:rsidRPr="009A0155">
        <w:rPr>
          <w:rFonts w:ascii="Tajawal" w:hAnsi="Tajawal" w:cs="Tajawal" w:hint="cs"/>
        </w:rPr>
        <w:t>Value Propositions</w:t>
      </w:r>
    </w:p>
    <w:p w14:paraId="33963591" w14:textId="77777777" w:rsidR="003E4A6B" w:rsidRPr="009A0155" w:rsidRDefault="003E4A6B" w:rsidP="003E4A6B">
      <w:pPr>
        <w:pStyle w:val="ListParagraph"/>
        <w:numPr>
          <w:ilvl w:val="0"/>
          <w:numId w:val="14"/>
        </w:numPr>
        <w:rPr>
          <w:rFonts w:ascii="Tajawal" w:hAnsi="Tajawal" w:cs="Tajawal"/>
        </w:rPr>
      </w:pPr>
      <w:r w:rsidRPr="009A0155">
        <w:rPr>
          <w:rFonts w:ascii="Tajawal" w:hAnsi="Tajawal" w:cs="Tajawal" w:hint="cs"/>
        </w:rPr>
        <w:t>Convenience for customers to receive products immediately and pay later</w:t>
      </w:r>
    </w:p>
    <w:p w14:paraId="2491C329" w14:textId="77777777" w:rsidR="003E4A6B" w:rsidRPr="009A0155" w:rsidRDefault="003E4A6B" w:rsidP="003E4A6B">
      <w:pPr>
        <w:pStyle w:val="ListParagraph"/>
        <w:numPr>
          <w:ilvl w:val="0"/>
          <w:numId w:val="14"/>
        </w:numPr>
        <w:rPr>
          <w:rFonts w:ascii="Tajawal" w:hAnsi="Tajawal" w:cs="Tajawal"/>
        </w:rPr>
      </w:pPr>
      <w:r w:rsidRPr="009A0155">
        <w:rPr>
          <w:rFonts w:ascii="Tajawal" w:hAnsi="Tajawal" w:cs="Tajawal" w:hint="cs"/>
        </w:rPr>
        <w:t>Boosted sales for merchants by reducing payment barriers</w:t>
      </w:r>
    </w:p>
    <w:p w14:paraId="06F8BA50" w14:textId="77777777" w:rsidR="003E4A6B" w:rsidRPr="009A0155" w:rsidRDefault="003E4A6B" w:rsidP="003E4A6B">
      <w:pPr>
        <w:pStyle w:val="ListParagraph"/>
        <w:numPr>
          <w:ilvl w:val="0"/>
          <w:numId w:val="14"/>
        </w:numPr>
        <w:rPr>
          <w:rFonts w:ascii="Tajawal" w:hAnsi="Tajawal" w:cs="Tajawal"/>
        </w:rPr>
      </w:pPr>
      <w:r w:rsidRPr="009A0155">
        <w:rPr>
          <w:rFonts w:ascii="Tajawal" w:hAnsi="Tajawal" w:cs="Tajawal" w:hint="cs"/>
        </w:rPr>
        <w:t>Flexibility for customers with financial constraints</w:t>
      </w:r>
    </w:p>
    <w:p w14:paraId="0F104E4E" w14:textId="77777777" w:rsidR="003E4A6B" w:rsidRPr="009A0155" w:rsidRDefault="003E4A6B" w:rsidP="003E4A6B">
      <w:pPr>
        <w:pStyle w:val="ListParagraph"/>
        <w:numPr>
          <w:ilvl w:val="0"/>
          <w:numId w:val="14"/>
        </w:numPr>
        <w:rPr>
          <w:rFonts w:ascii="Tajawal" w:hAnsi="Tajawal" w:cs="Tajawal"/>
        </w:rPr>
      </w:pPr>
      <w:r w:rsidRPr="009A0155">
        <w:rPr>
          <w:rFonts w:ascii="Tajawal" w:hAnsi="Tajawal" w:cs="Tajawal" w:hint="cs"/>
        </w:rPr>
        <w:t>Enhanced customer loyalty through trust-building mechanisms</w:t>
      </w:r>
    </w:p>
    <w:p w14:paraId="7F98C57F" w14:textId="77777777" w:rsidR="003E4A6B" w:rsidRPr="009A0155" w:rsidRDefault="003E4A6B" w:rsidP="003E4A6B">
      <w:pPr>
        <w:pStyle w:val="Heading1"/>
        <w:rPr>
          <w:rFonts w:ascii="Tajawal" w:hAnsi="Tajawal" w:cs="Tajawal"/>
        </w:rPr>
      </w:pPr>
      <w:r w:rsidRPr="009A0155">
        <w:rPr>
          <w:rFonts w:ascii="Tajawal" w:hAnsi="Tajawal" w:cs="Tajawal" w:hint="cs"/>
        </w:rPr>
        <w:t>Customer Relationships</w:t>
      </w:r>
    </w:p>
    <w:p w14:paraId="22DD9E10" w14:textId="77777777" w:rsidR="003E4A6B" w:rsidRPr="009A0155" w:rsidRDefault="003E4A6B" w:rsidP="003E4A6B">
      <w:pPr>
        <w:pStyle w:val="ListParagraph"/>
        <w:numPr>
          <w:ilvl w:val="0"/>
          <w:numId w:val="15"/>
        </w:numPr>
        <w:rPr>
          <w:rFonts w:ascii="Tajawal" w:hAnsi="Tajawal" w:cs="Tajawal"/>
        </w:rPr>
      </w:pPr>
      <w:r w:rsidRPr="009A0155">
        <w:rPr>
          <w:rFonts w:ascii="Tajawal" w:hAnsi="Tajawal" w:cs="Tajawal" w:hint="cs"/>
        </w:rPr>
        <w:t>Personalized communication through email and mobile apps</w:t>
      </w:r>
    </w:p>
    <w:p w14:paraId="2B058822" w14:textId="77777777" w:rsidR="003E4A6B" w:rsidRPr="009A0155" w:rsidRDefault="003E4A6B" w:rsidP="003E4A6B">
      <w:pPr>
        <w:pStyle w:val="ListParagraph"/>
        <w:numPr>
          <w:ilvl w:val="0"/>
          <w:numId w:val="15"/>
        </w:numPr>
        <w:rPr>
          <w:rFonts w:ascii="Tajawal" w:hAnsi="Tajawal" w:cs="Tajawal"/>
        </w:rPr>
      </w:pPr>
      <w:r w:rsidRPr="009A0155">
        <w:rPr>
          <w:rFonts w:ascii="Tajawal" w:hAnsi="Tajawal" w:cs="Tajawal" w:hint="cs"/>
        </w:rPr>
        <w:t>Customer support for payment-related issues</w:t>
      </w:r>
    </w:p>
    <w:p w14:paraId="0E443C4C" w14:textId="77777777" w:rsidR="003E4A6B" w:rsidRPr="009A0155" w:rsidRDefault="003E4A6B" w:rsidP="003E4A6B">
      <w:pPr>
        <w:pStyle w:val="ListParagraph"/>
        <w:numPr>
          <w:ilvl w:val="0"/>
          <w:numId w:val="15"/>
        </w:numPr>
        <w:rPr>
          <w:rFonts w:ascii="Tajawal" w:hAnsi="Tajawal" w:cs="Tajawal"/>
        </w:rPr>
      </w:pPr>
      <w:r w:rsidRPr="009A0155">
        <w:rPr>
          <w:rFonts w:ascii="Tajawal" w:hAnsi="Tajawal" w:cs="Tajawal" w:hint="cs"/>
        </w:rPr>
        <w:t>Transparent credit limits and repayment schedules</w:t>
      </w:r>
    </w:p>
    <w:p w14:paraId="6AC9EF12" w14:textId="77777777" w:rsidR="003E4A6B" w:rsidRPr="009A0155" w:rsidRDefault="003E4A6B" w:rsidP="003E4A6B">
      <w:pPr>
        <w:pStyle w:val="Heading1"/>
        <w:rPr>
          <w:rFonts w:ascii="Tajawal" w:hAnsi="Tajawal" w:cs="Tajawal"/>
        </w:rPr>
      </w:pPr>
      <w:r w:rsidRPr="009A0155">
        <w:rPr>
          <w:rFonts w:ascii="Tajawal" w:hAnsi="Tajawal" w:cs="Tajawal" w:hint="cs"/>
        </w:rPr>
        <w:t>Customer Segments</w:t>
      </w:r>
    </w:p>
    <w:p w14:paraId="5FE57FF8" w14:textId="77777777" w:rsidR="003E4A6B" w:rsidRPr="009A0155" w:rsidRDefault="003E4A6B" w:rsidP="003E4A6B">
      <w:pPr>
        <w:pStyle w:val="ListParagraph"/>
        <w:numPr>
          <w:ilvl w:val="0"/>
          <w:numId w:val="16"/>
        </w:numPr>
        <w:rPr>
          <w:rFonts w:ascii="Tajawal" w:hAnsi="Tajawal" w:cs="Tajawal"/>
        </w:rPr>
      </w:pPr>
      <w:r w:rsidRPr="009A0155">
        <w:rPr>
          <w:rFonts w:ascii="Tajawal" w:hAnsi="Tajawal" w:cs="Tajawal" w:hint="cs"/>
        </w:rPr>
        <w:t>Online shoppers seeking deferred payment options</w:t>
      </w:r>
    </w:p>
    <w:p w14:paraId="026B45A8" w14:textId="77777777" w:rsidR="003E4A6B" w:rsidRPr="009A0155" w:rsidRDefault="003E4A6B" w:rsidP="003E4A6B">
      <w:pPr>
        <w:pStyle w:val="ListParagraph"/>
        <w:numPr>
          <w:ilvl w:val="0"/>
          <w:numId w:val="16"/>
        </w:numPr>
        <w:rPr>
          <w:rFonts w:ascii="Tajawal" w:hAnsi="Tajawal" w:cs="Tajawal"/>
        </w:rPr>
      </w:pPr>
      <w:r w:rsidRPr="009A0155">
        <w:rPr>
          <w:rFonts w:ascii="Tajawal" w:hAnsi="Tajawal" w:cs="Tajawal" w:hint="cs"/>
        </w:rPr>
        <w:t>Young adults managing limited cash flow</w:t>
      </w:r>
    </w:p>
    <w:p w14:paraId="685BFB78" w14:textId="77777777" w:rsidR="003E4A6B" w:rsidRPr="009A0155" w:rsidRDefault="003E4A6B" w:rsidP="003E4A6B">
      <w:pPr>
        <w:pStyle w:val="ListParagraph"/>
        <w:numPr>
          <w:ilvl w:val="0"/>
          <w:numId w:val="16"/>
        </w:numPr>
        <w:rPr>
          <w:rFonts w:ascii="Tajawal" w:hAnsi="Tajawal" w:cs="Tajawal"/>
        </w:rPr>
      </w:pPr>
      <w:r w:rsidRPr="009A0155">
        <w:rPr>
          <w:rFonts w:ascii="Tajawal" w:hAnsi="Tajawal" w:cs="Tajawal" w:hint="cs"/>
        </w:rPr>
        <w:lastRenderedPageBreak/>
        <w:t>Small businesses requiring immediate inventory</w:t>
      </w:r>
    </w:p>
    <w:p w14:paraId="2BCB28B4" w14:textId="77777777" w:rsidR="003E4A6B" w:rsidRPr="009A0155" w:rsidRDefault="003E4A6B" w:rsidP="003E4A6B">
      <w:pPr>
        <w:pStyle w:val="Heading1"/>
        <w:rPr>
          <w:rFonts w:ascii="Tajawal" w:hAnsi="Tajawal" w:cs="Tajawal"/>
        </w:rPr>
      </w:pPr>
      <w:r w:rsidRPr="009A0155">
        <w:rPr>
          <w:rFonts w:ascii="Tajawal" w:hAnsi="Tajawal" w:cs="Tajawal" w:hint="cs"/>
        </w:rPr>
        <w:t>Key Resources</w:t>
      </w:r>
    </w:p>
    <w:p w14:paraId="2BE54068" w14:textId="77777777" w:rsidR="003E4A6B" w:rsidRPr="009A0155" w:rsidRDefault="003E4A6B" w:rsidP="003E4A6B">
      <w:pPr>
        <w:pStyle w:val="ListParagraph"/>
        <w:numPr>
          <w:ilvl w:val="0"/>
          <w:numId w:val="17"/>
        </w:numPr>
        <w:rPr>
          <w:rFonts w:ascii="Tajawal" w:hAnsi="Tajawal" w:cs="Tajawal"/>
        </w:rPr>
      </w:pPr>
      <w:r w:rsidRPr="009A0155">
        <w:rPr>
          <w:rFonts w:ascii="Tajawal" w:hAnsi="Tajawal" w:cs="Tajawal" w:hint="cs"/>
        </w:rPr>
        <w:t>Technology platform for transaction and credit management</w:t>
      </w:r>
    </w:p>
    <w:p w14:paraId="14E4A668" w14:textId="77777777" w:rsidR="003E4A6B" w:rsidRPr="009A0155" w:rsidRDefault="003E4A6B" w:rsidP="003E4A6B">
      <w:pPr>
        <w:pStyle w:val="ListParagraph"/>
        <w:numPr>
          <w:ilvl w:val="0"/>
          <w:numId w:val="17"/>
        </w:numPr>
        <w:rPr>
          <w:rFonts w:ascii="Tajawal" w:hAnsi="Tajawal" w:cs="Tajawal"/>
        </w:rPr>
      </w:pPr>
      <w:r w:rsidRPr="009A0155">
        <w:rPr>
          <w:rFonts w:ascii="Tajawal" w:hAnsi="Tajawal" w:cs="Tajawal" w:hint="cs"/>
        </w:rPr>
        <w:t>Credit-scoring algorithms</w:t>
      </w:r>
    </w:p>
    <w:p w14:paraId="22D0A858" w14:textId="77777777" w:rsidR="003E4A6B" w:rsidRPr="009A0155" w:rsidRDefault="003E4A6B" w:rsidP="003E4A6B">
      <w:pPr>
        <w:pStyle w:val="ListParagraph"/>
        <w:numPr>
          <w:ilvl w:val="0"/>
          <w:numId w:val="17"/>
        </w:numPr>
        <w:rPr>
          <w:rFonts w:ascii="Tajawal" w:hAnsi="Tajawal" w:cs="Tajawal"/>
        </w:rPr>
      </w:pPr>
      <w:r w:rsidRPr="009A0155">
        <w:rPr>
          <w:rFonts w:ascii="Tajawal" w:hAnsi="Tajawal" w:cs="Tajawal" w:hint="cs"/>
        </w:rPr>
        <w:t>Partnerships with financial institutions</w:t>
      </w:r>
    </w:p>
    <w:p w14:paraId="39D6F32A" w14:textId="77777777" w:rsidR="003E4A6B" w:rsidRPr="009A0155" w:rsidRDefault="003E4A6B" w:rsidP="003E4A6B">
      <w:pPr>
        <w:pStyle w:val="ListParagraph"/>
        <w:numPr>
          <w:ilvl w:val="0"/>
          <w:numId w:val="17"/>
        </w:numPr>
        <w:rPr>
          <w:rFonts w:ascii="Tajawal" w:hAnsi="Tajawal" w:cs="Tajawal"/>
        </w:rPr>
      </w:pPr>
      <w:r w:rsidRPr="009A0155">
        <w:rPr>
          <w:rFonts w:ascii="Tajawal" w:hAnsi="Tajawal" w:cs="Tajawal" w:hint="cs"/>
        </w:rPr>
        <w:t>Logistics network for delivery</w:t>
      </w:r>
    </w:p>
    <w:p w14:paraId="063B58C5" w14:textId="77777777" w:rsidR="003E4A6B" w:rsidRPr="009A0155" w:rsidRDefault="003E4A6B" w:rsidP="003E4A6B">
      <w:pPr>
        <w:pStyle w:val="Heading1"/>
        <w:rPr>
          <w:rFonts w:ascii="Tajawal" w:hAnsi="Tajawal" w:cs="Tajawal"/>
        </w:rPr>
      </w:pPr>
      <w:r w:rsidRPr="009A0155">
        <w:rPr>
          <w:rFonts w:ascii="Tajawal" w:hAnsi="Tajawal" w:cs="Tajawal" w:hint="cs"/>
        </w:rPr>
        <w:t>Channels</w:t>
      </w:r>
    </w:p>
    <w:p w14:paraId="2DC92E1F" w14:textId="77777777" w:rsidR="003E4A6B" w:rsidRPr="009A0155" w:rsidRDefault="003E4A6B" w:rsidP="003E4A6B">
      <w:pPr>
        <w:pStyle w:val="ListParagraph"/>
        <w:numPr>
          <w:ilvl w:val="0"/>
          <w:numId w:val="18"/>
        </w:numPr>
        <w:rPr>
          <w:rFonts w:ascii="Tajawal" w:hAnsi="Tajawal" w:cs="Tajawal"/>
        </w:rPr>
      </w:pPr>
      <w:r w:rsidRPr="009A0155">
        <w:rPr>
          <w:rFonts w:ascii="Tajawal" w:hAnsi="Tajawal" w:cs="Tajawal" w:hint="cs"/>
        </w:rPr>
        <w:t>Mobile apps and e-commerce websites</w:t>
      </w:r>
    </w:p>
    <w:p w14:paraId="19FB29B7" w14:textId="77777777" w:rsidR="003E4A6B" w:rsidRPr="009A0155" w:rsidRDefault="003E4A6B" w:rsidP="003E4A6B">
      <w:pPr>
        <w:pStyle w:val="ListParagraph"/>
        <w:numPr>
          <w:ilvl w:val="0"/>
          <w:numId w:val="18"/>
        </w:numPr>
        <w:rPr>
          <w:rFonts w:ascii="Tajawal" w:hAnsi="Tajawal" w:cs="Tajawal"/>
        </w:rPr>
      </w:pPr>
      <w:r w:rsidRPr="009A0155">
        <w:rPr>
          <w:rFonts w:ascii="Tajawal" w:hAnsi="Tajawal" w:cs="Tajawal" w:hint="cs"/>
        </w:rPr>
        <w:t>Social media and digital advertisements</w:t>
      </w:r>
    </w:p>
    <w:p w14:paraId="537C0BC6" w14:textId="77777777" w:rsidR="003E4A6B" w:rsidRPr="009A0155" w:rsidRDefault="003E4A6B" w:rsidP="003E4A6B">
      <w:pPr>
        <w:pStyle w:val="ListParagraph"/>
        <w:numPr>
          <w:ilvl w:val="0"/>
          <w:numId w:val="18"/>
        </w:numPr>
        <w:rPr>
          <w:rFonts w:ascii="Tajawal" w:hAnsi="Tajawal" w:cs="Tajawal"/>
        </w:rPr>
      </w:pPr>
      <w:r w:rsidRPr="009A0155">
        <w:rPr>
          <w:rFonts w:ascii="Tajawal" w:hAnsi="Tajawal" w:cs="Tajawal" w:hint="cs"/>
        </w:rPr>
        <w:t>Partnerships with retailers and service providers</w:t>
      </w:r>
    </w:p>
    <w:p w14:paraId="58DC90E8" w14:textId="77777777" w:rsidR="003E4A6B" w:rsidRPr="009A0155" w:rsidRDefault="003E4A6B" w:rsidP="003E4A6B">
      <w:pPr>
        <w:pStyle w:val="Heading1"/>
        <w:rPr>
          <w:rFonts w:ascii="Tajawal" w:hAnsi="Tajawal" w:cs="Tajawal"/>
        </w:rPr>
      </w:pPr>
      <w:r w:rsidRPr="009A0155">
        <w:rPr>
          <w:rFonts w:ascii="Tajawal" w:hAnsi="Tajawal" w:cs="Tajawal" w:hint="cs"/>
        </w:rPr>
        <w:t>Cost Structure</w:t>
      </w:r>
    </w:p>
    <w:p w14:paraId="20AFF64A" w14:textId="77777777" w:rsidR="003E4A6B" w:rsidRPr="009A0155" w:rsidRDefault="003E4A6B" w:rsidP="003E4A6B">
      <w:pPr>
        <w:pStyle w:val="ListParagraph"/>
        <w:numPr>
          <w:ilvl w:val="0"/>
          <w:numId w:val="19"/>
        </w:numPr>
        <w:rPr>
          <w:rFonts w:ascii="Tajawal" w:hAnsi="Tajawal" w:cs="Tajawal"/>
        </w:rPr>
      </w:pPr>
      <w:r w:rsidRPr="009A0155">
        <w:rPr>
          <w:rFonts w:ascii="Tajawal" w:hAnsi="Tajawal" w:cs="Tajawal" w:hint="cs"/>
        </w:rPr>
        <w:t>Platform development and maintenance</w:t>
      </w:r>
    </w:p>
    <w:p w14:paraId="19883ED7" w14:textId="77777777" w:rsidR="003E4A6B" w:rsidRPr="009A0155" w:rsidRDefault="003E4A6B" w:rsidP="003E4A6B">
      <w:pPr>
        <w:pStyle w:val="ListParagraph"/>
        <w:numPr>
          <w:ilvl w:val="0"/>
          <w:numId w:val="19"/>
        </w:numPr>
        <w:rPr>
          <w:rFonts w:ascii="Tajawal" w:hAnsi="Tajawal" w:cs="Tajawal"/>
        </w:rPr>
      </w:pPr>
      <w:r w:rsidRPr="009A0155">
        <w:rPr>
          <w:rFonts w:ascii="Tajawal" w:hAnsi="Tajawal" w:cs="Tajawal" w:hint="cs"/>
        </w:rPr>
        <w:t>Payment gateway fees</w:t>
      </w:r>
    </w:p>
    <w:p w14:paraId="1ADF7C4C" w14:textId="77777777" w:rsidR="003E4A6B" w:rsidRPr="009A0155" w:rsidRDefault="003E4A6B" w:rsidP="003E4A6B">
      <w:pPr>
        <w:pStyle w:val="ListParagraph"/>
        <w:numPr>
          <w:ilvl w:val="0"/>
          <w:numId w:val="19"/>
        </w:numPr>
        <w:rPr>
          <w:rFonts w:ascii="Tajawal" w:hAnsi="Tajawal" w:cs="Tajawal"/>
        </w:rPr>
      </w:pPr>
      <w:r w:rsidRPr="009A0155">
        <w:rPr>
          <w:rFonts w:ascii="Tajawal" w:hAnsi="Tajawal" w:cs="Tajawal" w:hint="cs"/>
        </w:rPr>
        <w:t>Costs of logistics and delivery</w:t>
      </w:r>
    </w:p>
    <w:p w14:paraId="0AB04050" w14:textId="77777777" w:rsidR="003E4A6B" w:rsidRPr="009A0155" w:rsidRDefault="003E4A6B" w:rsidP="003E4A6B">
      <w:pPr>
        <w:pStyle w:val="ListParagraph"/>
        <w:numPr>
          <w:ilvl w:val="0"/>
          <w:numId w:val="19"/>
        </w:numPr>
        <w:rPr>
          <w:rFonts w:ascii="Tajawal" w:hAnsi="Tajawal" w:cs="Tajawal"/>
        </w:rPr>
      </w:pPr>
      <w:r w:rsidRPr="009A0155">
        <w:rPr>
          <w:rFonts w:ascii="Tajawal" w:hAnsi="Tajawal" w:cs="Tajawal" w:hint="cs"/>
        </w:rPr>
        <w:t>Marketing and advertising expenses</w:t>
      </w:r>
    </w:p>
    <w:p w14:paraId="269FE23B" w14:textId="77777777" w:rsidR="003E4A6B" w:rsidRPr="009A0155" w:rsidRDefault="003E4A6B" w:rsidP="003E4A6B">
      <w:pPr>
        <w:pStyle w:val="ListParagraph"/>
        <w:numPr>
          <w:ilvl w:val="0"/>
          <w:numId w:val="19"/>
        </w:numPr>
        <w:rPr>
          <w:rFonts w:ascii="Tajawal" w:hAnsi="Tajawal" w:cs="Tajawal"/>
        </w:rPr>
      </w:pPr>
      <w:r w:rsidRPr="009A0155">
        <w:rPr>
          <w:rFonts w:ascii="Tajawal" w:hAnsi="Tajawal" w:cs="Tajawal" w:hint="cs"/>
        </w:rPr>
        <w:t>Credit risk management and default provisions</w:t>
      </w:r>
    </w:p>
    <w:p w14:paraId="5EB6A881" w14:textId="77777777" w:rsidR="003E4A6B" w:rsidRPr="009A0155" w:rsidRDefault="003E4A6B" w:rsidP="003E4A6B">
      <w:pPr>
        <w:pStyle w:val="Heading1"/>
        <w:rPr>
          <w:rFonts w:ascii="Tajawal" w:hAnsi="Tajawal" w:cs="Tajawal"/>
        </w:rPr>
      </w:pPr>
      <w:r w:rsidRPr="009A0155">
        <w:rPr>
          <w:rFonts w:ascii="Tajawal" w:hAnsi="Tajawal" w:cs="Tajawal" w:hint="cs"/>
        </w:rPr>
        <w:t>Revenue Streams</w:t>
      </w:r>
    </w:p>
    <w:p w14:paraId="206B4A1C" w14:textId="77777777" w:rsidR="003E4A6B" w:rsidRPr="009A0155" w:rsidRDefault="003E4A6B" w:rsidP="003E4A6B">
      <w:pPr>
        <w:pStyle w:val="ListParagraph"/>
        <w:numPr>
          <w:ilvl w:val="0"/>
          <w:numId w:val="20"/>
        </w:numPr>
        <w:rPr>
          <w:rFonts w:ascii="Tajawal" w:hAnsi="Tajawal" w:cs="Tajawal"/>
        </w:rPr>
      </w:pPr>
      <w:r w:rsidRPr="009A0155">
        <w:rPr>
          <w:rFonts w:ascii="Tajawal" w:hAnsi="Tajawal" w:cs="Tajawal" w:hint="cs"/>
        </w:rPr>
        <w:t>Late payment fees charged to customers</w:t>
      </w:r>
    </w:p>
    <w:p w14:paraId="4F06E791" w14:textId="77777777" w:rsidR="003E4A6B" w:rsidRPr="009A0155" w:rsidRDefault="003E4A6B" w:rsidP="003E4A6B">
      <w:pPr>
        <w:pStyle w:val="ListParagraph"/>
        <w:numPr>
          <w:ilvl w:val="0"/>
          <w:numId w:val="20"/>
        </w:numPr>
        <w:rPr>
          <w:rFonts w:ascii="Tajawal" w:hAnsi="Tajawal" w:cs="Tajawal"/>
        </w:rPr>
      </w:pPr>
      <w:r w:rsidRPr="009A0155">
        <w:rPr>
          <w:rFonts w:ascii="Tajawal" w:hAnsi="Tajawal" w:cs="Tajawal" w:hint="cs"/>
        </w:rPr>
        <w:t>Service fees collected from merchants</w:t>
      </w:r>
    </w:p>
    <w:p w14:paraId="56EE85E2" w14:textId="77777777" w:rsidR="003E4A6B" w:rsidRPr="009A0155" w:rsidRDefault="003E4A6B" w:rsidP="003E4A6B">
      <w:pPr>
        <w:pStyle w:val="ListParagraph"/>
        <w:numPr>
          <w:ilvl w:val="0"/>
          <w:numId w:val="20"/>
        </w:numPr>
        <w:rPr>
          <w:rFonts w:ascii="Tajawal" w:hAnsi="Tajawal" w:cs="Tajawal"/>
        </w:rPr>
      </w:pPr>
      <w:r w:rsidRPr="009A0155">
        <w:rPr>
          <w:rFonts w:ascii="Tajawal" w:hAnsi="Tajawal" w:cs="Tajawal" w:hint="cs"/>
        </w:rPr>
        <w:t>Interest on deferred payments</w:t>
      </w:r>
    </w:p>
    <w:p w14:paraId="179311A3" w14:textId="77777777" w:rsidR="003E4A6B" w:rsidRPr="009A0155" w:rsidRDefault="003E4A6B" w:rsidP="003E4A6B">
      <w:pPr>
        <w:pStyle w:val="ListParagraph"/>
        <w:numPr>
          <w:ilvl w:val="0"/>
          <w:numId w:val="20"/>
        </w:numPr>
        <w:rPr>
          <w:rFonts w:ascii="Tajawal" w:hAnsi="Tajawal" w:cs="Tajawal"/>
        </w:rPr>
      </w:pPr>
      <w:r w:rsidRPr="009A0155">
        <w:rPr>
          <w:rFonts w:ascii="Tajawal" w:hAnsi="Tajawal" w:cs="Tajawal" w:hint="cs"/>
        </w:rPr>
        <w:t>Subscription fees for premium offerings</w:t>
      </w:r>
    </w:p>
    <w:p w14:paraId="0018483A" w14:textId="77777777" w:rsidR="003E4A6B" w:rsidRPr="009A0155" w:rsidRDefault="003E4A6B" w:rsidP="003E4A6B">
      <w:pPr>
        <w:rPr>
          <w:rFonts w:ascii="Tajawal" w:hAnsi="Tajawal" w:cs="Tajawal"/>
        </w:rPr>
      </w:pPr>
    </w:p>
    <w:p w14:paraId="0659E78C" w14:textId="77777777" w:rsidR="00ED43EC" w:rsidRPr="009A0155" w:rsidRDefault="00ED43EC" w:rsidP="00ED43EC">
      <w:pPr>
        <w:rPr>
          <w:rFonts w:ascii="Tajawal" w:hAnsi="Tajawal" w:cs="Tajawal"/>
        </w:rPr>
      </w:pPr>
    </w:p>
    <w:p w14:paraId="176E462E" w14:textId="77777777" w:rsidR="003E4A6B" w:rsidRPr="009A0155" w:rsidRDefault="003E4A6B" w:rsidP="003E4A6B">
      <w:pPr>
        <w:pStyle w:val="Title"/>
        <w:rPr>
          <w:rFonts w:ascii="Tajawal" w:hAnsi="Tajawal" w:cs="Tajawal"/>
        </w:rPr>
      </w:pPr>
      <w:r w:rsidRPr="009A0155">
        <w:rPr>
          <w:rFonts w:ascii="Tajawal" w:hAnsi="Tajawal" w:cs="Tajawal" w:hint="cs"/>
        </w:rPr>
        <w:t>Send Now, Pay Later: Risk Mitigation Strategies</w:t>
      </w:r>
    </w:p>
    <w:p w14:paraId="7C8705A9" w14:textId="77777777" w:rsidR="003E4A6B" w:rsidRPr="009A0155" w:rsidRDefault="003E4A6B" w:rsidP="003E4A6B">
      <w:pPr>
        <w:pStyle w:val="Subtitle"/>
        <w:rPr>
          <w:rFonts w:ascii="Tajawal" w:hAnsi="Tajawal" w:cs="Tajawal"/>
        </w:rPr>
      </w:pPr>
      <w:r w:rsidRPr="009A0155">
        <w:rPr>
          <w:rFonts w:ascii="Tajawal" w:hAnsi="Tajawal" w:cs="Tajawal" w:hint="cs"/>
        </w:rPr>
        <w:t>Ensuring Financial Stability in Deferred Payment Models</w:t>
      </w:r>
    </w:p>
    <w:p w14:paraId="62F11203" w14:textId="77777777" w:rsidR="003E4A6B" w:rsidRPr="009A0155" w:rsidRDefault="003E4A6B" w:rsidP="003E4A6B">
      <w:pPr>
        <w:rPr>
          <w:rFonts w:ascii="Tajawal" w:hAnsi="Tajawal" w:cs="Tajawal"/>
        </w:rPr>
      </w:pPr>
      <w:r w:rsidRPr="009A0155">
        <w:rPr>
          <w:rFonts w:ascii="Tajawal" w:hAnsi="Tajawal" w:cs="Tajawal" w:hint="cs"/>
        </w:rPr>
        <w:lastRenderedPageBreak/>
        <w:t>The "Send Now, Pay Later" model is increasingly popular across industries, offering customers flexibility in payment schedules while encouraging immediate consumption. Though it enhances customer satisfaction and drives revenue, the model carries inherent risks that businesses must address to ensure financial stability. Below, we explore key risks associated with this model and provide strategies for effective risk mitigation.</w:t>
      </w:r>
    </w:p>
    <w:p w14:paraId="554CF367" w14:textId="77777777" w:rsidR="003E4A6B" w:rsidRPr="009A0155" w:rsidRDefault="003E4A6B" w:rsidP="003E4A6B">
      <w:pPr>
        <w:pStyle w:val="Heading1"/>
        <w:rPr>
          <w:rFonts w:ascii="Tajawal" w:hAnsi="Tajawal" w:cs="Tajawal"/>
        </w:rPr>
      </w:pPr>
      <w:r w:rsidRPr="009A0155">
        <w:rPr>
          <w:rFonts w:ascii="Tajawal" w:hAnsi="Tajawal" w:cs="Tajawal" w:hint="cs"/>
        </w:rPr>
        <w:t>Understanding Risks in the Send Now, Pay Later Model</w:t>
      </w:r>
    </w:p>
    <w:p w14:paraId="042288FE" w14:textId="77777777" w:rsidR="003E4A6B" w:rsidRPr="009A0155" w:rsidRDefault="003E4A6B" w:rsidP="003E4A6B">
      <w:pPr>
        <w:pStyle w:val="Heading2"/>
        <w:rPr>
          <w:rFonts w:ascii="Tajawal" w:hAnsi="Tajawal" w:cs="Tajawal"/>
        </w:rPr>
      </w:pPr>
      <w:r w:rsidRPr="009A0155">
        <w:rPr>
          <w:rFonts w:ascii="Tajawal" w:hAnsi="Tajawal" w:cs="Tajawal" w:hint="cs"/>
        </w:rPr>
        <w:t>Default Risk</w:t>
      </w:r>
    </w:p>
    <w:p w14:paraId="3BEE3232" w14:textId="77777777" w:rsidR="003E4A6B" w:rsidRPr="009A0155" w:rsidRDefault="003E4A6B" w:rsidP="003E4A6B">
      <w:pPr>
        <w:rPr>
          <w:rFonts w:ascii="Tajawal" w:hAnsi="Tajawal" w:cs="Tajawal"/>
        </w:rPr>
      </w:pPr>
      <w:r w:rsidRPr="009A0155">
        <w:rPr>
          <w:rFonts w:ascii="Tajawal" w:hAnsi="Tajawal" w:cs="Tajawal" w:hint="cs"/>
        </w:rPr>
        <w:t>One of the most significant risks is customer default, where individuals fail to honor their payment obligations. This can impact cash flow, force businesses to write off debts, and strain relationships with financial partners.</w:t>
      </w:r>
    </w:p>
    <w:p w14:paraId="3C086B4D" w14:textId="77777777" w:rsidR="003E4A6B" w:rsidRPr="009A0155" w:rsidRDefault="003E4A6B" w:rsidP="003E4A6B">
      <w:pPr>
        <w:pStyle w:val="Heading2"/>
        <w:rPr>
          <w:rFonts w:ascii="Tajawal" w:hAnsi="Tajawal" w:cs="Tajawal"/>
        </w:rPr>
      </w:pPr>
      <w:r w:rsidRPr="009A0155">
        <w:rPr>
          <w:rFonts w:ascii="Tajawal" w:hAnsi="Tajawal" w:cs="Tajawal" w:hint="cs"/>
        </w:rPr>
        <w:t>Credit Risk</w:t>
      </w:r>
    </w:p>
    <w:p w14:paraId="2A093939" w14:textId="77777777" w:rsidR="003E4A6B" w:rsidRPr="009A0155" w:rsidRDefault="003E4A6B" w:rsidP="003E4A6B">
      <w:pPr>
        <w:rPr>
          <w:rFonts w:ascii="Tajawal" w:hAnsi="Tajawal" w:cs="Tajawal"/>
        </w:rPr>
      </w:pPr>
      <w:r w:rsidRPr="009A0155">
        <w:rPr>
          <w:rFonts w:ascii="Tajawal" w:hAnsi="Tajawal" w:cs="Tajawal" w:hint="cs"/>
        </w:rPr>
        <w:t>Offering goods or services without immediate payment exposes companies to credit risk, especially if customers have poor credit histories or no established creditworthiness.</w:t>
      </w:r>
    </w:p>
    <w:p w14:paraId="3EE507CA" w14:textId="77777777" w:rsidR="003E4A6B" w:rsidRPr="009A0155" w:rsidRDefault="003E4A6B" w:rsidP="003E4A6B">
      <w:pPr>
        <w:pStyle w:val="Heading2"/>
        <w:rPr>
          <w:rFonts w:ascii="Tajawal" w:hAnsi="Tajawal" w:cs="Tajawal"/>
        </w:rPr>
      </w:pPr>
      <w:r w:rsidRPr="009A0155">
        <w:rPr>
          <w:rFonts w:ascii="Tajawal" w:hAnsi="Tajawal" w:cs="Tajawal" w:hint="cs"/>
        </w:rPr>
        <w:t>Fraud Risk</w:t>
      </w:r>
    </w:p>
    <w:p w14:paraId="7368A02E" w14:textId="77777777" w:rsidR="003E4A6B" w:rsidRPr="009A0155" w:rsidRDefault="003E4A6B" w:rsidP="003E4A6B">
      <w:pPr>
        <w:rPr>
          <w:rFonts w:ascii="Tajawal" w:hAnsi="Tajawal" w:cs="Tajawal"/>
        </w:rPr>
      </w:pPr>
      <w:r w:rsidRPr="009A0155">
        <w:rPr>
          <w:rFonts w:ascii="Tajawal" w:hAnsi="Tajawal" w:cs="Tajawal" w:hint="cs"/>
        </w:rPr>
        <w:t>The deferred payment model is susceptible to fraudulent activity, including identity theft or false payment information, which can lead to substantial financial losses.</w:t>
      </w:r>
    </w:p>
    <w:p w14:paraId="0FD5EFB6" w14:textId="77777777" w:rsidR="003E4A6B" w:rsidRPr="009A0155" w:rsidRDefault="003E4A6B" w:rsidP="003E4A6B">
      <w:pPr>
        <w:pStyle w:val="Heading2"/>
        <w:rPr>
          <w:rFonts w:ascii="Tajawal" w:hAnsi="Tajawal" w:cs="Tajawal"/>
        </w:rPr>
      </w:pPr>
      <w:r w:rsidRPr="009A0155">
        <w:rPr>
          <w:rFonts w:ascii="Tajawal" w:hAnsi="Tajawal" w:cs="Tajawal" w:hint="cs"/>
        </w:rPr>
        <w:t>Operational Risk</w:t>
      </w:r>
    </w:p>
    <w:p w14:paraId="1D59DB48" w14:textId="77777777" w:rsidR="003E4A6B" w:rsidRPr="009A0155" w:rsidRDefault="003E4A6B" w:rsidP="003E4A6B">
      <w:pPr>
        <w:rPr>
          <w:rFonts w:ascii="Tajawal" w:hAnsi="Tajawal" w:cs="Tajawal"/>
        </w:rPr>
      </w:pPr>
      <w:r w:rsidRPr="009A0155">
        <w:rPr>
          <w:rFonts w:ascii="Tajawal" w:hAnsi="Tajawal" w:cs="Tajawal" w:hint="cs"/>
        </w:rPr>
        <w:t>This model requires robust infrastructure to track and manage payments. Inefficient systems or human errors can disrupt operations, resulting in lost revenue or reputational damage.</w:t>
      </w:r>
    </w:p>
    <w:p w14:paraId="1B3E1B8C" w14:textId="77777777" w:rsidR="003E4A6B" w:rsidRPr="009A0155" w:rsidRDefault="003E4A6B" w:rsidP="003E4A6B">
      <w:pPr>
        <w:pStyle w:val="Heading2"/>
        <w:rPr>
          <w:rFonts w:ascii="Tajawal" w:hAnsi="Tajawal" w:cs="Tajawal"/>
        </w:rPr>
      </w:pPr>
      <w:r w:rsidRPr="009A0155">
        <w:rPr>
          <w:rFonts w:ascii="Tajawal" w:hAnsi="Tajawal" w:cs="Tajawal" w:hint="cs"/>
        </w:rPr>
        <w:t>Regulatory Risk</w:t>
      </w:r>
    </w:p>
    <w:p w14:paraId="38B37ACA" w14:textId="77777777" w:rsidR="003E4A6B" w:rsidRPr="009A0155" w:rsidRDefault="003E4A6B" w:rsidP="003E4A6B">
      <w:pPr>
        <w:rPr>
          <w:rFonts w:ascii="Tajawal" w:hAnsi="Tajawal" w:cs="Tajawal"/>
        </w:rPr>
      </w:pPr>
      <w:r w:rsidRPr="009A0155">
        <w:rPr>
          <w:rFonts w:ascii="Tajawal" w:hAnsi="Tajawal" w:cs="Tajawal" w:hint="cs"/>
        </w:rPr>
        <w:t>As deferred payment schemes come under increasing scrutiny, businesses must ensure compliance with evolving regulations related to consumer finance and data protection.</w:t>
      </w:r>
    </w:p>
    <w:p w14:paraId="587A624F" w14:textId="77777777" w:rsidR="003E4A6B" w:rsidRPr="009A0155" w:rsidRDefault="003E4A6B" w:rsidP="003E4A6B">
      <w:pPr>
        <w:pStyle w:val="Heading1"/>
        <w:rPr>
          <w:rFonts w:ascii="Tajawal" w:hAnsi="Tajawal" w:cs="Tajawal"/>
        </w:rPr>
      </w:pPr>
      <w:r w:rsidRPr="009A0155">
        <w:rPr>
          <w:rFonts w:ascii="Tajawal" w:hAnsi="Tajawal" w:cs="Tajawal" w:hint="cs"/>
        </w:rPr>
        <w:t>Strategies for Risk Mitigation</w:t>
      </w:r>
    </w:p>
    <w:p w14:paraId="6A1A631D" w14:textId="77777777" w:rsidR="003E4A6B" w:rsidRPr="009A0155" w:rsidRDefault="003E4A6B" w:rsidP="003E4A6B">
      <w:pPr>
        <w:pStyle w:val="Heading2"/>
        <w:rPr>
          <w:rFonts w:ascii="Tajawal" w:hAnsi="Tajawal" w:cs="Tajawal"/>
        </w:rPr>
      </w:pPr>
      <w:r w:rsidRPr="009A0155">
        <w:rPr>
          <w:rFonts w:ascii="Tajawal" w:hAnsi="Tajawal" w:cs="Tajawal" w:hint="cs"/>
        </w:rPr>
        <w:t>Credit Assessment and Scoring</w:t>
      </w:r>
    </w:p>
    <w:p w14:paraId="11593764" w14:textId="77777777" w:rsidR="003E4A6B" w:rsidRPr="009A0155" w:rsidRDefault="003E4A6B" w:rsidP="003E4A6B">
      <w:pPr>
        <w:rPr>
          <w:rFonts w:ascii="Tajawal" w:hAnsi="Tajawal" w:cs="Tajawal"/>
        </w:rPr>
      </w:pPr>
      <w:r w:rsidRPr="009A0155">
        <w:rPr>
          <w:rFonts w:ascii="Tajawal" w:hAnsi="Tajawal" w:cs="Tajawal" w:hint="cs"/>
        </w:rPr>
        <w:t>Implementing rigorous credit checks and scoring systems is essential for evaluating customer creditworthiness before approving deferred payment options. Leveraging data analytics and AI-driven models can enhance accuracy and predictability.</w:t>
      </w:r>
    </w:p>
    <w:p w14:paraId="26AEA15D" w14:textId="77777777" w:rsidR="003E4A6B" w:rsidRPr="009A0155" w:rsidRDefault="003E4A6B" w:rsidP="003E4A6B">
      <w:pPr>
        <w:pStyle w:val="Heading2"/>
        <w:rPr>
          <w:rFonts w:ascii="Tajawal" w:hAnsi="Tajawal" w:cs="Tajawal"/>
        </w:rPr>
      </w:pPr>
      <w:r w:rsidRPr="009A0155">
        <w:rPr>
          <w:rFonts w:ascii="Tajawal" w:hAnsi="Tajawal" w:cs="Tajawal" w:hint="cs"/>
        </w:rPr>
        <w:lastRenderedPageBreak/>
        <w:t>Fraud Detection Mechanisms</w:t>
      </w:r>
    </w:p>
    <w:p w14:paraId="147142CE" w14:textId="77777777" w:rsidR="003E4A6B" w:rsidRPr="009A0155" w:rsidRDefault="003E4A6B" w:rsidP="003E4A6B">
      <w:pPr>
        <w:rPr>
          <w:rFonts w:ascii="Tajawal" w:hAnsi="Tajawal" w:cs="Tajawal"/>
        </w:rPr>
      </w:pPr>
      <w:r w:rsidRPr="009A0155">
        <w:rPr>
          <w:rFonts w:ascii="Tajawal" w:hAnsi="Tajawal" w:cs="Tajawal" w:hint="cs"/>
        </w:rPr>
        <w:t>Invest in advanced fraud detection tools that utilize machine learning algorithms to identify suspicious transactions or patterns. Multi-factor authentication during account creation can also deter identity theft.</w:t>
      </w:r>
    </w:p>
    <w:p w14:paraId="581CA064" w14:textId="77777777" w:rsidR="003E4A6B" w:rsidRPr="009A0155" w:rsidRDefault="003E4A6B" w:rsidP="003E4A6B">
      <w:pPr>
        <w:pStyle w:val="Heading2"/>
        <w:rPr>
          <w:rFonts w:ascii="Tajawal" w:hAnsi="Tajawal" w:cs="Tajawal"/>
        </w:rPr>
      </w:pPr>
      <w:r w:rsidRPr="009A0155">
        <w:rPr>
          <w:rFonts w:ascii="Tajawal" w:hAnsi="Tajawal" w:cs="Tajawal" w:hint="cs"/>
        </w:rPr>
        <w:t>Flexible Payment Plans</w:t>
      </w:r>
    </w:p>
    <w:p w14:paraId="5D420813" w14:textId="77777777" w:rsidR="003E4A6B" w:rsidRPr="009A0155" w:rsidRDefault="003E4A6B" w:rsidP="003E4A6B">
      <w:pPr>
        <w:rPr>
          <w:rFonts w:ascii="Tajawal" w:hAnsi="Tajawal" w:cs="Tajawal"/>
        </w:rPr>
      </w:pPr>
      <w:r w:rsidRPr="009A0155">
        <w:rPr>
          <w:rFonts w:ascii="Tajawal" w:hAnsi="Tajawal" w:cs="Tajawal" w:hint="cs"/>
        </w:rPr>
        <w:t>Offering customizable payment plans based on customer preferences and financial situations can reduce default rates. For example, installment-based payments with automated reminders can ensure timely repayment.</w:t>
      </w:r>
    </w:p>
    <w:p w14:paraId="493CA262" w14:textId="77777777" w:rsidR="003E4A6B" w:rsidRPr="009A0155" w:rsidRDefault="003E4A6B" w:rsidP="003E4A6B">
      <w:pPr>
        <w:pStyle w:val="Heading2"/>
        <w:rPr>
          <w:rFonts w:ascii="Tajawal" w:hAnsi="Tajawal" w:cs="Tajawal"/>
        </w:rPr>
      </w:pPr>
      <w:r w:rsidRPr="009A0155">
        <w:rPr>
          <w:rFonts w:ascii="Tajawal" w:hAnsi="Tajawal" w:cs="Tajawal" w:hint="cs"/>
        </w:rPr>
        <w:t>Insurance Policies</w:t>
      </w:r>
    </w:p>
    <w:p w14:paraId="362E6F81" w14:textId="77777777" w:rsidR="003E4A6B" w:rsidRPr="009A0155" w:rsidRDefault="003E4A6B" w:rsidP="003E4A6B">
      <w:pPr>
        <w:rPr>
          <w:rFonts w:ascii="Tajawal" w:hAnsi="Tajawal" w:cs="Tajawal"/>
        </w:rPr>
      </w:pPr>
      <w:r w:rsidRPr="009A0155">
        <w:rPr>
          <w:rFonts w:ascii="Tajawal" w:hAnsi="Tajawal" w:cs="Tajawal" w:hint="cs"/>
        </w:rPr>
        <w:t>Credit insurance can protect businesses against losses due to customer default. Partnering with insurers to cover high-risk transactions can provide an extra layer of security.</w:t>
      </w:r>
    </w:p>
    <w:p w14:paraId="2E7882E7" w14:textId="77777777" w:rsidR="003E4A6B" w:rsidRPr="009A0155" w:rsidRDefault="003E4A6B" w:rsidP="003E4A6B">
      <w:pPr>
        <w:pStyle w:val="Heading2"/>
        <w:rPr>
          <w:rFonts w:ascii="Tajawal" w:hAnsi="Tajawal" w:cs="Tajawal"/>
        </w:rPr>
      </w:pPr>
      <w:r w:rsidRPr="009A0155">
        <w:rPr>
          <w:rFonts w:ascii="Tajawal" w:hAnsi="Tajawal" w:cs="Tajawal" w:hint="cs"/>
        </w:rPr>
        <w:t>Robust Data Security Protocols</w:t>
      </w:r>
    </w:p>
    <w:p w14:paraId="6042A5FE" w14:textId="77777777" w:rsidR="003E4A6B" w:rsidRPr="009A0155" w:rsidRDefault="003E4A6B" w:rsidP="003E4A6B">
      <w:pPr>
        <w:rPr>
          <w:rFonts w:ascii="Tajawal" w:hAnsi="Tajawal" w:cs="Tajawal"/>
        </w:rPr>
      </w:pPr>
      <w:r w:rsidRPr="009A0155">
        <w:rPr>
          <w:rFonts w:ascii="Tajawal" w:hAnsi="Tajawal" w:cs="Tajawal" w:hint="cs"/>
        </w:rPr>
        <w:t>To mitigate fraud and regulatory risks, companies must prioritize data security. Implementing encryption, regular audits, and compliance with standards such as GDPR or PCI DSS is critical.</w:t>
      </w:r>
    </w:p>
    <w:p w14:paraId="77E6E573" w14:textId="77777777" w:rsidR="003E4A6B" w:rsidRPr="009A0155" w:rsidRDefault="003E4A6B" w:rsidP="003E4A6B">
      <w:pPr>
        <w:pStyle w:val="Heading2"/>
        <w:rPr>
          <w:rFonts w:ascii="Tajawal" w:hAnsi="Tajawal" w:cs="Tajawal"/>
        </w:rPr>
      </w:pPr>
      <w:r w:rsidRPr="009A0155">
        <w:rPr>
          <w:rFonts w:ascii="Tajawal" w:hAnsi="Tajawal" w:cs="Tajawal" w:hint="cs"/>
        </w:rPr>
        <w:t>Proactive Communication</w:t>
      </w:r>
    </w:p>
    <w:p w14:paraId="6FFD675C" w14:textId="77777777" w:rsidR="003E4A6B" w:rsidRPr="009A0155" w:rsidRDefault="003E4A6B" w:rsidP="003E4A6B">
      <w:pPr>
        <w:rPr>
          <w:rFonts w:ascii="Tajawal" w:hAnsi="Tajawal" w:cs="Tajawal"/>
        </w:rPr>
      </w:pPr>
      <w:r w:rsidRPr="009A0155">
        <w:rPr>
          <w:rFonts w:ascii="Tajawal" w:hAnsi="Tajawal" w:cs="Tajawal" w:hint="cs"/>
        </w:rPr>
        <w:t>Establishing clear and transparent communication channels with customers can encourage accountability. Regular reminders and updates about payment deadlines can reduce defaults.</w:t>
      </w:r>
    </w:p>
    <w:p w14:paraId="6773148E" w14:textId="77777777" w:rsidR="003E4A6B" w:rsidRPr="009A0155" w:rsidRDefault="003E4A6B" w:rsidP="003E4A6B">
      <w:pPr>
        <w:pStyle w:val="Heading2"/>
        <w:rPr>
          <w:rFonts w:ascii="Tajawal" w:hAnsi="Tajawal" w:cs="Tajawal"/>
        </w:rPr>
      </w:pPr>
      <w:r w:rsidRPr="009A0155">
        <w:rPr>
          <w:rFonts w:ascii="Tajawal" w:hAnsi="Tajawal" w:cs="Tajawal" w:hint="cs"/>
        </w:rPr>
        <w:t>Collaborations with Financial Institutions</w:t>
      </w:r>
    </w:p>
    <w:p w14:paraId="44E86739" w14:textId="77777777" w:rsidR="003E4A6B" w:rsidRPr="009A0155" w:rsidRDefault="003E4A6B" w:rsidP="003E4A6B">
      <w:pPr>
        <w:rPr>
          <w:rFonts w:ascii="Tajawal" w:hAnsi="Tajawal" w:cs="Tajawal"/>
        </w:rPr>
      </w:pPr>
      <w:r w:rsidRPr="009A0155">
        <w:rPr>
          <w:rFonts w:ascii="Tajawal" w:hAnsi="Tajawal" w:cs="Tajawal" w:hint="cs"/>
        </w:rPr>
        <w:t>Partnering with banks or fintech firms to co-manage payment plans can offload risk and provide access to professional expertise in risk assessment and mitigation.</w:t>
      </w:r>
    </w:p>
    <w:p w14:paraId="22CCD52B" w14:textId="77777777" w:rsidR="003E4A6B" w:rsidRPr="009A0155" w:rsidRDefault="003E4A6B" w:rsidP="003E4A6B">
      <w:pPr>
        <w:pStyle w:val="Heading2"/>
        <w:rPr>
          <w:rFonts w:ascii="Tajawal" w:hAnsi="Tajawal" w:cs="Tajawal"/>
        </w:rPr>
      </w:pPr>
      <w:r w:rsidRPr="009A0155">
        <w:rPr>
          <w:rFonts w:ascii="Tajawal" w:hAnsi="Tajawal" w:cs="Tajawal" w:hint="cs"/>
        </w:rPr>
        <w:t>Contingency Planning</w:t>
      </w:r>
    </w:p>
    <w:p w14:paraId="271A95D5" w14:textId="77777777" w:rsidR="003E4A6B" w:rsidRPr="009A0155" w:rsidRDefault="003E4A6B" w:rsidP="003E4A6B">
      <w:pPr>
        <w:rPr>
          <w:rFonts w:ascii="Tajawal" w:hAnsi="Tajawal" w:cs="Tajawal"/>
        </w:rPr>
      </w:pPr>
      <w:r w:rsidRPr="009A0155">
        <w:rPr>
          <w:rFonts w:ascii="Tajawal" w:hAnsi="Tajawal" w:cs="Tajawal" w:hint="cs"/>
        </w:rPr>
        <w:t>Developing contingency plans for worst-case scenarios, such as mass defaults or system failures, ensures business continuity and minimizes potential losses.</w:t>
      </w:r>
    </w:p>
    <w:p w14:paraId="41F2E398" w14:textId="77777777" w:rsidR="003E4A6B" w:rsidRPr="009A0155" w:rsidRDefault="003E4A6B" w:rsidP="003E4A6B">
      <w:pPr>
        <w:pStyle w:val="Heading1"/>
        <w:rPr>
          <w:rFonts w:ascii="Tajawal" w:hAnsi="Tajawal" w:cs="Tajawal"/>
        </w:rPr>
      </w:pPr>
      <w:r w:rsidRPr="009A0155">
        <w:rPr>
          <w:rFonts w:ascii="Tajawal" w:hAnsi="Tajawal" w:cs="Tajawal" w:hint="cs"/>
        </w:rPr>
        <w:t>Technological Tools for Risk Management</w:t>
      </w:r>
    </w:p>
    <w:p w14:paraId="1E12288B" w14:textId="77777777" w:rsidR="003E4A6B" w:rsidRPr="009A0155" w:rsidRDefault="003E4A6B" w:rsidP="003E4A6B">
      <w:pPr>
        <w:rPr>
          <w:rFonts w:ascii="Tajawal" w:hAnsi="Tajawal" w:cs="Tajawal"/>
        </w:rPr>
      </w:pPr>
      <w:r w:rsidRPr="009A0155">
        <w:rPr>
          <w:rFonts w:ascii="Tajawal" w:hAnsi="Tajawal" w:cs="Tajawal" w:hint="cs"/>
        </w:rPr>
        <w:t>With digital transformation, various tools can bolster risk mitigation efforts in deferred payment schemes:</w:t>
      </w:r>
    </w:p>
    <w:p w14:paraId="39AA2CAC" w14:textId="77777777" w:rsidR="003E4A6B" w:rsidRPr="009A0155" w:rsidRDefault="003E4A6B" w:rsidP="003E4A6B">
      <w:pPr>
        <w:pStyle w:val="ListParagraph"/>
        <w:numPr>
          <w:ilvl w:val="0"/>
          <w:numId w:val="21"/>
        </w:numPr>
        <w:rPr>
          <w:rFonts w:ascii="Tajawal" w:hAnsi="Tajawal" w:cs="Tajawal"/>
        </w:rPr>
      </w:pPr>
      <w:r w:rsidRPr="009A0155">
        <w:rPr>
          <w:rFonts w:ascii="Tajawal" w:hAnsi="Tajawal" w:cs="Tajawal" w:hint="cs"/>
        </w:rPr>
        <w:t>Blockchain Technology: Provides secure and transparent transaction records, reducing fraud.</w:t>
      </w:r>
    </w:p>
    <w:p w14:paraId="50808399" w14:textId="77777777" w:rsidR="003E4A6B" w:rsidRPr="009A0155" w:rsidRDefault="003E4A6B" w:rsidP="003E4A6B">
      <w:pPr>
        <w:pStyle w:val="ListParagraph"/>
        <w:numPr>
          <w:ilvl w:val="0"/>
          <w:numId w:val="21"/>
        </w:numPr>
        <w:rPr>
          <w:rFonts w:ascii="Tajawal" w:hAnsi="Tajawal" w:cs="Tajawal"/>
        </w:rPr>
      </w:pPr>
      <w:r w:rsidRPr="009A0155">
        <w:rPr>
          <w:rFonts w:ascii="Tajawal" w:hAnsi="Tajawal" w:cs="Tajawal" w:hint="cs"/>
        </w:rPr>
        <w:t>AI-Powered Analytics: Predict customer behavior and identify risk trends.</w:t>
      </w:r>
    </w:p>
    <w:p w14:paraId="6D455880" w14:textId="77777777" w:rsidR="003E4A6B" w:rsidRPr="009A0155" w:rsidRDefault="003E4A6B" w:rsidP="003E4A6B">
      <w:pPr>
        <w:pStyle w:val="ListParagraph"/>
        <w:numPr>
          <w:ilvl w:val="0"/>
          <w:numId w:val="21"/>
        </w:numPr>
        <w:rPr>
          <w:rFonts w:ascii="Tajawal" w:hAnsi="Tajawal" w:cs="Tajawal"/>
        </w:rPr>
      </w:pPr>
      <w:r w:rsidRPr="009A0155">
        <w:rPr>
          <w:rFonts w:ascii="Tajawal" w:hAnsi="Tajawal" w:cs="Tajawal" w:hint="cs"/>
        </w:rPr>
        <w:t>Payment Gateways: Improve tracking and management of deferred payments.</w:t>
      </w:r>
    </w:p>
    <w:p w14:paraId="18611120" w14:textId="77777777" w:rsidR="003E4A6B" w:rsidRPr="009A0155" w:rsidRDefault="003E4A6B" w:rsidP="003E4A6B">
      <w:pPr>
        <w:pStyle w:val="ListParagraph"/>
        <w:numPr>
          <w:ilvl w:val="0"/>
          <w:numId w:val="21"/>
        </w:numPr>
        <w:rPr>
          <w:rFonts w:ascii="Tajawal" w:hAnsi="Tajawal" w:cs="Tajawal"/>
        </w:rPr>
      </w:pPr>
      <w:r w:rsidRPr="009A0155">
        <w:rPr>
          <w:rFonts w:ascii="Tajawal" w:hAnsi="Tajawal" w:cs="Tajawal" w:hint="cs"/>
        </w:rPr>
        <w:t>CRM Software: Streamline communication and maintain customer loyalty.</w:t>
      </w:r>
    </w:p>
    <w:p w14:paraId="5EDABE62" w14:textId="77777777" w:rsidR="003E4A6B" w:rsidRPr="009A0155" w:rsidRDefault="003E4A6B" w:rsidP="003E4A6B">
      <w:pPr>
        <w:pStyle w:val="Heading1"/>
        <w:rPr>
          <w:rFonts w:ascii="Tajawal" w:hAnsi="Tajawal" w:cs="Tajawal"/>
        </w:rPr>
      </w:pPr>
      <w:r w:rsidRPr="009A0155">
        <w:rPr>
          <w:rFonts w:ascii="Tajawal" w:hAnsi="Tajawal" w:cs="Tajawal" w:hint="cs"/>
        </w:rPr>
        <w:lastRenderedPageBreak/>
        <w:t>Regulatory Compliance and Ethical Considerations</w:t>
      </w:r>
    </w:p>
    <w:p w14:paraId="08C69391" w14:textId="77777777" w:rsidR="003E4A6B" w:rsidRPr="009A0155" w:rsidRDefault="003E4A6B" w:rsidP="003E4A6B">
      <w:pPr>
        <w:rPr>
          <w:rFonts w:ascii="Tajawal" w:hAnsi="Tajawal" w:cs="Tajawal"/>
        </w:rPr>
      </w:pPr>
      <w:r w:rsidRPr="009A0155">
        <w:rPr>
          <w:rFonts w:ascii="Tajawal" w:hAnsi="Tajawal" w:cs="Tajawal" w:hint="cs"/>
        </w:rPr>
        <w:t>Compliance with consumer protection regulations is non-negotiable. It’s important to:</w:t>
      </w:r>
    </w:p>
    <w:p w14:paraId="4517CC9C" w14:textId="77777777" w:rsidR="003E4A6B" w:rsidRPr="009A0155" w:rsidRDefault="003E4A6B" w:rsidP="003E4A6B">
      <w:pPr>
        <w:pStyle w:val="ListParagraph"/>
        <w:numPr>
          <w:ilvl w:val="0"/>
          <w:numId w:val="22"/>
        </w:numPr>
        <w:rPr>
          <w:rFonts w:ascii="Tajawal" w:hAnsi="Tajawal" w:cs="Tajawal"/>
        </w:rPr>
      </w:pPr>
      <w:r w:rsidRPr="009A0155">
        <w:rPr>
          <w:rFonts w:ascii="Tajawal" w:hAnsi="Tajawal" w:cs="Tajawal" w:hint="cs"/>
        </w:rPr>
        <w:t>Adhere to laws governing deferred payments and interest rates.</w:t>
      </w:r>
    </w:p>
    <w:p w14:paraId="3D115995" w14:textId="77777777" w:rsidR="003E4A6B" w:rsidRPr="009A0155" w:rsidRDefault="003E4A6B" w:rsidP="003E4A6B">
      <w:pPr>
        <w:pStyle w:val="ListParagraph"/>
        <w:numPr>
          <w:ilvl w:val="0"/>
          <w:numId w:val="22"/>
        </w:numPr>
        <w:rPr>
          <w:rFonts w:ascii="Tajawal" w:hAnsi="Tajawal" w:cs="Tajawal"/>
        </w:rPr>
      </w:pPr>
      <w:r w:rsidRPr="009A0155">
        <w:rPr>
          <w:rFonts w:ascii="Tajawal" w:hAnsi="Tajawal" w:cs="Tajawal" w:hint="cs"/>
        </w:rPr>
        <w:t>Ensure ethical advertising that clearly communicates terms and conditions.</w:t>
      </w:r>
    </w:p>
    <w:p w14:paraId="5DA68BF5" w14:textId="77777777" w:rsidR="003E4A6B" w:rsidRPr="009A0155" w:rsidRDefault="003E4A6B" w:rsidP="003E4A6B">
      <w:pPr>
        <w:pStyle w:val="ListParagraph"/>
        <w:numPr>
          <w:ilvl w:val="0"/>
          <w:numId w:val="22"/>
        </w:numPr>
        <w:rPr>
          <w:rFonts w:ascii="Tajawal" w:hAnsi="Tajawal" w:cs="Tajawal"/>
        </w:rPr>
      </w:pPr>
      <w:r w:rsidRPr="009A0155">
        <w:rPr>
          <w:rFonts w:ascii="Tajawal" w:hAnsi="Tajawal" w:cs="Tajawal" w:hint="cs"/>
        </w:rPr>
        <w:t>Respect customer data privacy and comply with data protection mandates.</w:t>
      </w:r>
    </w:p>
    <w:p w14:paraId="5954263F" w14:textId="77777777" w:rsidR="003E4A6B" w:rsidRPr="009A0155" w:rsidRDefault="003E4A6B" w:rsidP="003E4A6B">
      <w:pPr>
        <w:pStyle w:val="Heading1"/>
        <w:rPr>
          <w:rFonts w:ascii="Tajawal" w:hAnsi="Tajawal" w:cs="Tajawal"/>
        </w:rPr>
      </w:pPr>
      <w:r w:rsidRPr="009A0155">
        <w:rPr>
          <w:rFonts w:ascii="Tajawal" w:hAnsi="Tajawal" w:cs="Tajawal" w:hint="cs"/>
        </w:rPr>
        <w:t>Conclusion</w:t>
      </w:r>
    </w:p>
    <w:p w14:paraId="0C4C1C7A" w14:textId="77777777" w:rsidR="003E4A6B" w:rsidRPr="009A0155" w:rsidRDefault="003E4A6B" w:rsidP="003E4A6B">
      <w:pPr>
        <w:rPr>
          <w:rFonts w:ascii="Tajawal" w:hAnsi="Tajawal" w:cs="Tajawal"/>
        </w:rPr>
      </w:pPr>
      <w:r w:rsidRPr="009A0155">
        <w:rPr>
          <w:rFonts w:ascii="Tajawal" w:hAnsi="Tajawal" w:cs="Tajawal" w:hint="cs"/>
        </w:rPr>
        <w:t>The "Send Now, Pay Later" model undoubtedly offers tremendous opportunities for growth and customer engagement. However, its inherent risks require proactive and comprehensive mitigation strategies. By leveraging technology, implementing robust policies, and maintaining transparency, businesses can not only safeguard their financial health but also build lasting relationships with their customers. As the model evolves, staying ahead of risks will be key to sustainable success.</w:t>
      </w:r>
    </w:p>
    <w:p w14:paraId="5EED22C6" w14:textId="77777777" w:rsidR="003E4A6B" w:rsidRPr="009A0155" w:rsidRDefault="003E4A6B" w:rsidP="003E4A6B">
      <w:pPr>
        <w:rPr>
          <w:rFonts w:ascii="Tajawal" w:hAnsi="Tajawal" w:cs="Tajawal"/>
        </w:rPr>
      </w:pPr>
    </w:p>
    <w:p w14:paraId="53725FE6" w14:textId="77777777" w:rsidR="00846D34" w:rsidRPr="009A0155" w:rsidRDefault="00846D34" w:rsidP="00846D34">
      <w:pPr>
        <w:pStyle w:val="Title"/>
        <w:rPr>
          <w:rFonts w:ascii="Tajawal" w:hAnsi="Tajawal" w:cs="Tajawal"/>
        </w:rPr>
      </w:pPr>
      <w:r w:rsidRPr="009A0155">
        <w:rPr>
          <w:rFonts w:ascii="Tajawal" w:hAnsi="Tajawal" w:cs="Tajawal" w:hint="cs"/>
        </w:rPr>
        <w:t>Feasibility Study: Send Now, Pay Later</w:t>
      </w:r>
    </w:p>
    <w:p w14:paraId="65D5E82C" w14:textId="77777777" w:rsidR="00846D34" w:rsidRPr="009A0155" w:rsidRDefault="00846D34" w:rsidP="00846D34">
      <w:pPr>
        <w:pStyle w:val="Subtitle"/>
        <w:rPr>
          <w:rFonts w:ascii="Tajawal" w:hAnsi="Tajawal" w:cs="Tajawal"/>
        </w:rPr>
      </w:pPr>
      <w:r w:rsidRPr="009A0155">
        <w:rPr>
          <w:rFonts w:ascii="Tajawal" w:hAnsi="Tajawal" w:cs="Tajawal" w:hint="cs"/>
        </w:rPr>
        <w:t>An Analysis of Viability and Potential Implementation</w:t>
      </w:r>
    </w:p>
    <w:p w14:paraId="5A38D638" w14:textId="77777777" w:rsidR="00846D34" w:rsidRPr="009A0155" w:rsidRDefault="00846D34" w:rsidP="00846D34">
      <w:pPr>
        <w:pStyle w:val="Heading1"/>
        <w:rPr>
          <w:rFonts w:ascii="Tajawal" w:hAnsi="Tajawal" w:cs="Tajawal"/>
        </w:rPr>
      </w:pPr>
      <w:r w:rsidRPr="009A0155">
        <w:rPr>
          <w:rFonts w:ascii="Tajawal" w:hAnsi="Tajawal" w:cs="Tajawal" w:hint="cs"/>
        </w:rPr>
        <w:t>Introduction</w:t>
      </w:r>
    </w:p>
    <w:p w14:paraId="517F144F" w14:textId="77777777" w:rsidR="00846D34" w:rsidRPr="009A0155" w:rsidRDefault="00846D34" w:rsidP="00846D34">
      <w:pPr>
        <w:rPr>
          <w:rFonts w:ascii="Tajawal" w:hAnsi="Tajawal" w:cs="Tajawal"/>
        </w:rPr>
      </w:pPr>
      <w:r w:rsidRPr="009A0155">
        <w:rPr>
          <w:rFonts w:ascii="Tajawal" w:hAnsi="Tajawal" w:cs="Tajawal" w:hint="cs"/>
        </w:rPr>
        <w:t>The concept of "Send Now, Pay Later" (SNPL) is rapidly gaining traction in the realm of payment systems, offering customers the convenience of immediate access to goods or services while deferring payment to a later date. This study explores the feasibility of implementing such a model, analyzing its market demand, economic viability, technological requirements, potential risks, and long-term sustainability.</w:t>
      </w:r>
    </w:p>
    <w:p w14:paraId="133AFF1B" w14:textId="77777777" w:rsidR="00846D34" w:rsidRPr="009A0155" w:rsidRDefault="00846D34" w:rsidP="00846D34">
      <w:pPr>
        <w:pStyle w:val="Heading1"/>
        <w:rPr>
          <w:rFonts w:ascii="Tajawal" w:hAnsi="Tajawal" w:cs="Tajawal"/>
        </w:rPr>
      </w:pPr>
      <w:r w:rsidRPr="009A0155">
        <w:rPr>
          <w:rFonts w:ascii="Tajawal" w:hAnsi="Tajawal" w:cs="Tajawal" w:hint="cs"/>
        </w:rPr>
        <w:t>Background</w:t>
      </w:r>
    </w:p>
    <w:p w14:paraId="59597192" w14:textId="77777777" w:rsidR="00846D34" w:rsidRPr="009A0155" w:rsidRDefault="00846D34" w:rsidP="00846D34">
      <w:pPr>
        <w:rPr>
          <w:rFonts w:ascii="Tajawal" w:hAnsi="Tajawal" w:cs="Tajawal"/>
        </w:rPr>
      </w:pPr>
      <w:r w:rsidRPr="009A0155">
        <w:rPr>
          <w:rFonts w:ascii="Tajawal" w:hAnsi="Tajawal" w:cs="Tajawal" w:hint="cs"/>
        </w:rPr>
        <w:t>The "Send Now, Pay Later" model is an offshoot of the broader "Buy Now, Pay Later" (BNPL) framework, which has successfully disrupted traditional credit and loan systems in recent years. SNPL extends the application of deferred payments to services like logistics and digital transactions, making it particularly relevant for businesses aiming to streamline operations and boost customer retention.</w:t>
      </w:r>
    </w:p>
    <w:p w14:paraId="5766C1CF" w14:textId="77777777" w:rsidR="00846D34" w:rsidRPr="009A0155" w:rsidRDefault="00846D34" w:rsidP="00846D34">
      <w:pPr>
        <w:pStyle w:val="Heading1"/>
        <w:rPr>
          <w:rFonts w:ascii="Tajawal" w:hAnsi="Tajawal" w:cs="Tajawal"/>
        </w:rPr>
      </w:pPr>
      <w:r w:rsidRPr="009A0155">
        <w:rPr>
          <w:rFonts w:ascii="Tajawal" w:hAnsi="Tajawal" w:cs="Tajawal" w:hint="cs"/>
        </w:rPr>
        <w:lastRenderedPageBreak/>
        <w:t>Market Demand</w:t>
      </w:r>
    </w:p>
    <w:p w14:paraId="1C25FEE3" w14:textId="77777777" w:rsidR="00846D34" w:rsidRPr="009A0155" w:rsidRDefault="00846D34" w:rsidP="00846D34">
      <w:pPr>
        <w:pStyle w:val="Heading2"/>
        <w:rPr>
          <w:rFonts w:ascii="Tajawal" w:hAnsi="Tajawal" w:cs="Tajawal"/>
        </w:rPr>
      </w:pPr>
      <w:r w:rsidRPr="009A0155">
        <w:rPr>
          <w:rFonts w:ascii="Tajawal" w:hAnsi="Tajawal" w:cs="Tajawal" w:hint="cs"/>
        </w:rPr>
        <w:t>Customer Trends</w:t>
      </w:r>
    </w:p>
    <w:p w14:paraId="78B01863" w14:textId="77777777" w:rsidR="00846D34" w:rsidRPr="009A0155" w:rsidRDefault="00846D34" w:rsidP="00846D34">
      <w:pPr>
        <w:rPr>
          <w:rFonts w:ascii="Tajawal" w:hAnsi="Tajawal" w:cs="Tajawal"/>
        </w:rPr>
      </w:pPr>
      <w:r w:rsidRPr="009A0155">
        <w:rPr>
          <w:rFonts w:ascii="Tajawal" w:hAnsi="Tajawal" w:cs="Tajawal" w:hint="cs"/>
        </w:rPr>
        <w:t>The appetite for deferred payment options has grown significantly, fueled by increasing digitalization and evolving consumer behavior. Research indicates that over 60% of consumers are interested in services that reduce financial strain, offering flexibility without the immediate burden of payment.</w:t>
      </w:r>
    </w:p>
    <w:p w14:paraId="16A48A93" w14:textId="77777777" w:rsidR="00846D34" w:rsidRPr="009A0155" w:rsidRDefault="00846D34" w:rsidP="00846D34">
      <w:pPr>
        <w:pStyle w:val="Heading2"/>
        <w:rPr>
          <w:rFonts w:ascii="Tajawal" w:hAnsi="Tajawal" w:cs="Tajawal"/>
        </w:rPr>
      </w:pPr>
      <w:r w:rsidRPr="009A0155">
        <w:rPr>
          <w:rFonts w:ascii="Tajawal" w:hAnsi="Tajawal" w:cs="Tajawal" w:hint="cs"/>
        </w:rPr>
        <w:t>Industry Insights</w:t>
      </w:r>
    </w:p>
    <w:p w14:paraId="4164DF93" w14:textId="77777777" w:rsidR="00846D34" w:rsidRPr="009A0155" w:rsidRDefault="00846D34" w:rsidP="00846D34">
      <w:pPr>
        <w:rPr>
          <w:rFonts w:ascii="Tajawal" w:hAnsi="Tajawal" w:cs="Tajawal"/>
        </w:rPr>
      </w:pPr>
      <w:r w:rsidRPr="009A0155">
        <w:rPr>
          <w:rFonts w:ascii="Tajawal" w:hAnsi="Tajawal" w:cs="Tajawal" w:hint="cs"/>
        </w:rPr>
        <w:t>Industries such as e-commerce, logistics, and subscription-based services are prime candidates for SNPL solutions. In logistics, for instance, customers could benefit from immediate dispatch of goods, with payment deferred until receipt or after a defined period.</w:t>
      </w:r>
    </w:p>
    <w:p w14:paraId="55E1F0C1" w14:textId="77777777" w:rsidR="00846D34" w:rsidRPr="009A0155" w:rsidRDefault="00846D34" w:rsidP="00846D34">
      <w:pPr>
        <w:pStyle w:val="Heading1"/>
        <w:rPr>
          <w:rFonts w:ascii="Tajawal" w:hAnsi="Tajawal" w:cs="Tajawal"/>
        </w:rPr>
      </w:pPr>
      <w:r w:rsidRPr="009A0155">
        <w:rPr>
          <w:rFonts w:ascii="Tajawal" w:hAnsi="Tajawal" w:cs="Tajawal" w:hint="cs"/>
        </w:rPr>
        <w:t>Economic Viability</w:t>
      </w:r>
    </w:p>
    <w:p w14:paraId="57DDFA99" w14:textId="77777777" w:rsidR="00846D34" w:rsidRPr="009A0155" w:rsidRDefault="00846D34" w:rsidP="00846D34">
      <w:pPr>
        <w:pStyle w:val="Heading2"/>
        <w:rPr>
          <w:rFonts w:ascii="Tajawal" w:hAnsi="Tajawal" w:cs="Tajawal"/>
        </w:rPr>
      </w:pPr>
      <w:r w:rsidRPr="009A0155">
        <w:rPr>
          <w:rFonts w:ascii="Tajawal" w:hAnsi="Tajawal" w:cs="Tajawal" w:hint="cs"/>
        </w:rPr>
        <w:t>Revenue Model</w:t>
      </w:r>
    </w:p>
    <w:p w14:paraId="79E39B4B" w14:textId="77777777" w:rsidR="00846D34" w:rsidRPr="009A0155" w:rsidRDefault="00846D34" w:rsidP="00846D34">
      <w:pPr>
        <w:rPr>
          <w:rFonts w:ascii="Tajawal" w:hAnsi="Tajawal" w:cs="Tajawal"/>
        </w:rPr>
      </w:pPr>
      <w:r w:rsidRPr="009A0155">
        <w:rPr>
          <w:rFonts w:ascii="Tajawal" w:hAnsi="Tajawal" w:cs="Tajawal" w:hint="cs"/>
        </w:rPr>
        <w:t>For businesses, SNPL provides an opportunity to drive revenue growth by attracting customers hesitant to make upfront payments. Possible revenue streams include service fees for deferred payments, interest on outstanding balances, and partnerships with financial institutions.</w:t>
      </w:r>
    </w:p>
    <w:p w14:paraId="2BC972AD" w14:textId="77777777" w:rsidR="00846D34" w:rsidRPr="009A0155" w:rsidRDefault="00846D34" w:rsidP="00846D34">
      <w:pPr>
        <w:pStyle w:val="Heading2"/>
        <w:rPr>
          <w:rFonts w:ascii="Tajawal" w:hAnsi="Tajawal" w:cs="Tajawal"/>
        </w:rPr>
      </w:pPr>
      <w:r w:rsidRPr="009A0155">
        <w:rPr>
          <w:rFonts w:ascii="Tajawal" w:hAnsi="Tajawal" w:cs="Tajawal" w:hint="cs"/>
        </w:rPr>
        <w:t>Cost Analysis</w:t>
      </w:r>
    </w:p>
    <w:p w14:paraId="6A411603" w14:textId="77777777" w:rsidR="00846D34" w:rsidRPr="009A0155" w:rsidRDefault="00846D34" w:rsidP="00846D34">
      <w:pPr>
        <w:rPr>
          <w:rFonts w:ascii="Tajawal" w:hAnsi="Tajawal" w:cs="Tajawal"/>
        </w:rPr>
      </w:pPr>
      <w:r w:rsidRPr="009A0155">
        <w:rPr>
          <w:rFonts w:ascii="Tajawal" w:hAnsi="Tajawal" w:cs="Tajawal" w:hint="cs"/>
        </w:rPr>
        <w:t>Implementing SNPL incurs initial costs such as technology development, risk management systems, and marketing. However, the ability to lock in customer loyalty and increase conversions may outweigh these expenses, yielding a favorable return on investment.</w:t>
      </w:r>
    </w:p>
    <w:p w14:paraId="5DF64FA6" w14:textId="77777777" w:rsidR="00846D34" w:rsidRPr="009A0155" w:rsidRDefault="00846D34" w:rsidP="00846D34">
      <w:pPr>
        <w:pStyle w:val="Heading1"/>
        <w:rPr>
          <w:rFonts w:ascii="Tajawal" w:hAnsi="Tajawal" w:cs="Tajawal"/>
        </w:rPr>
      </w:pPr>
      <w:r w:rsidRPr="009A0155">
        <w:rPr>
          <w:rFonts w:ascii="Tajawal" w:hAnsi="Tajawal" w:cs="Tajawal" w:hint="cs"/>
        </w:rPr>
        <w:t>Technological Requirements</w:t>
      </w:r>
    </w:p>
    <w:p w14:paraId="4D5A75FC" w14:textId="77777777" w:rsidR="00846D34" w:rsidRPr="009A0155" w:rsidRDefault="00846D34" w:rsidP="00846D34">
      <w:pPr>
        <w:pStyle w:val="Heading2"/>
        <w:rPr>
          <w:rFonts w:ascii="Tajawal" w:hAnsi="Tajawal" w:cs="Tajawal"/>
        </w:rPr>
      </w:pPr>
      <w:r w:rsidRPr="009A0155">
        <w:rPr>
          <w:rFonts w:ascii="Tajawal" w:hAnsi="Tajawal" w:cs="Tajawal" w:hint="cs"/>
        </w:rPr>
        <w:t>Payment Gateway Integration</w:t>
      </w:r>
    </w:p>
    <w:p w14:paraId="226D26DB" w14:textId="77777777" w:rsidR="00846D34" w:rsidRPr="009A0155" w:rsidRDefault="00846D34" w:rsidP="00846D34">
      <w:pPr>
        <w:rPr>
          <w:rFonts w:ascii="Tajawal" w:hAnsi="Tajawal" w:cs="Tajawal"/>
        </w:rPr>
      </w:pPr>
      <w:r w:rsidRPr="009A0155">
        <w:rPr>
          <w:rFonts w:ascii="Tajawal" w:hAnsi="Tajawal" w:cs="Tajawal" w:hint="cs"/>
        </w:rPr>
        <w:t>Advanced payment gateways capable of supporting deferred transactions are essential for the SNPL model. These systems must be secure, scalable, and compliant with regional regulations.</w:t>
      </w:r>
    </w:p>
    <w:p w14:paraId="50785F06" w14:textId="77777777" w:rsidR="00846D34" w:rsidRPr="009A0155" w:rsidRDefault="00846D34" w:rsidP="00846D34">
      <w:pPr>
        <w:pStyle w:val="Heading2"/>
        <w:rPr>
          <w:rFonts w:ascii="Tajawal" w:hAnsi="Tajawal" w:cs="Tajawal"/>
        </w:rPr>
      </w:pPr>
      <w:r w:rsidRPr="009A0155">
        <w:rPr>
          <w:rFonts w:ascii="Tajawal" w:hAnsi="Tajawal" w:cs="Tajawal" w:hint="cs"/>
        </w:rPr>
        <w:t>Data Analytics and AI</w:t>
      </w:r>
    </w:p>
    <w:p w14:paraId="34E23D40" w14:textId="77777777" w:rsidR="00846D34" w:rsidRPr="009A0155" w:rsidRDefault="00846D34" w:rsidP="00846D34">
      <w:pPr>
        <w:rPr>
          <w:rFonts w:ascii="Tajawal" w:hAnsi="Tajawal" w:cs="Tajawal"/>
        </w:rPr>
      </w:pPr>
      <w:r w:rsidRPr="009A0155">
        <w:rPr>
          <w:rFonts w:ascii="Tajawal" w:hAnsi="Tajawal" w:cs="Tajawal" w:hint="cs"/>
        </w:rPr>
        <w:t>Utilizing artificial intelligence and data analytics is crucial to assess customer creditworthiness in real time. Predictive algorithms can help determine eligibility, reducing default risks while enhancing the user experience.</w:t>
      </w:r>
    </w:p>
    <w:p w14:paraId="66549272" w14:textId="77777777" w:rsidR="00846D34" w:rsidRPr="009A0155" w:rsidRDefault="00846D34" w:rsidP="00846D34">
      <w:pPr>
        <w:pStyle w:val="Heading1"/>
        <w:rPr>
          <w:rFonts w:ascii="Tajawal" w:hAnsi="Tajawal" w:cs="Tajawal"/>
        </w:rPr>
      </w:pPr>
      <w:r w:rsidRPr="009A0155">
        <w:rPr>
          <w:rFonts w:ascii="Tajawal" w:hAnsi="Tajawal" w:cs="Tajawal" w:hint="cs"/>
        </w:rPr>
        <w:lastRenderedPageBreak/>
        <w:t>Risk Assessment</w:t>
      </w:r>
    </w:p>
    <w:p w14:paraId="55830338" w14:textId="77777777" w:rsidR="00846D34" w:rsidRPr="009A0155" w:rsidRDefault="00846D34" w:rsidP="00846D34">
      <w:pPr>
        <w:pStyle w:val="Heading2"/>
        <w:rPr>
          <w:rFonts w:ascii="Tajawal" w:hAnsi="Tajawal" w:cs="Tajawal"/>
        </w:rPr>
      </w:pPr>
      <w:r w:rsidRPr="009A0155">
        <w:rPr>
          <w:rFonts w:ascii="Tajawal" w:hAnsi="Tajawal" w:cs="Tajawal" w:hint="cs"/>
        </w:rPr>
        <w:t>Credit Risk</w:t>
      </w:r>
    </w:p>
    <w:p w14:paraId="1E1F5316" w14:textId="77777777" w:rsidR="00846D34" w:rsidRPr="009A0155" w:rsidRDefault="00846D34" w:rsidP="00846D34">
      <w:pPr>
        <w:rPr>
          <w:rFonts w:ascii="Tajawal" w:hAnsi="Tajawal" w:cs="Tajawal"/>
        </w:rPr>
      </w:pPr>
      <w:r w:rsidRPr="009A0155">
        <w:rPr>
          <w:rFonts w:ascii="Tajawal" w:hAnsi="Tajawal" w:cs="Tajawal" w:hint="cs"/>
        </w:rPr>
        <w:t>One of the primary challenges of SNPL is the risk of payment defaults. Businesses must implement robust credit-check mechanisms and maintain partnerships with credit bureaus to mitigate this risk.</w:t>
      </w:r>
    </w:p>
    <w:p w14:paraId="32C3415E" w14:textId="77777777" w:rsidR="00846D34" w:rsidRPr="009A0155" w:rsidRDefault="00846D34" w:rsidP="00846D34">
      <w:pPr>
        <w:pStyle w:val="Heading2"/>
        <w:rPr>
          <w:rFonts w:ascii="Tajawal" w:hAnsi="Tajawal" w:cs="Tajawal"/>
        </w:rPr>
      </w:pPr>
      <w:r w:rsidRPr="009A0155">
        <w:rPr>
          <w:rFonts w:ascii="Tajawal" w:hAnsi="Tajawal" w:cs="Tajawal" w:hint="cs"/>
        </w:rPr>
        <w:t>Operational Risk</w:t>
      </w:r>
    </w:p>
    <w:p w14:paraId="07AF8CD7" w14:textId="77777777" w:rsidR="00846D34" w:rsidRPr="009A0155" w:rsidRDefault="00846D34" w:rsidP="00846D34">
      <w:pPr>
        <w:rPr>
          <w:rFonts w:ascii="Tajawal" w:hAnsi="Tajawal" w:cs="Tajawal"/>
        </w:rPr>
      </w:pPr>
      <w:r w:rsidRPr="009A0155">
        <w:rPr>
          <w:rFonts w:ascii="Tajawal" w:hAnsi="Tajawal" w:cs="Tajawal" w:hint="cs"/>
        </w:rPr>
        <w:t>Operational risks include system outages, transaction errors, and customer disputes. Ensuring seamless functionality and high-quality customer support is vital to address these concerns.</w:t>
      </w:r>
    </w:p>
    <w:p w14:paraId="74BAD7D6" w14:textId="77777777" w:rsidR="00846D34" w:rsidRPr="009A0155" w:rsidRDefault="00846D34" w:rsidP="00846D34">
      <w:pPr>
        <w:pStyle w:val="Heading1"/>
        <w:rPr>
          <w:rFonts w:ascii="Tajawal" w:hAnsi="Tajawal" w:cs="Tajawal"/>
        </w:rPr>
      </w:pPr>
      <w:r w:rsidRPr="009A0155">
        <w:rPr>
          <w:rFonts w:ascii="Tajawal" w:hAnsi="Tajawal" w:cs="Tajawal" w:hint="cs"/>
        </w:rPr>
        <w:t>Legal and Regulatory Considerations</w:t>
      </w:r>
    </w:p>
    <w:p w14:paraId="3EF734BD" w14:textId="77777777" w:rsidR="00846D34" w:rsidRPr="009A0155" w:rsidRDefault="00846D34" w:rsidP="00846D34">
      <w:pPr>
        <w:rPr>
          <w:rFonts w:ascii="Tajawal" w:hAnsi="Tajawal" w:cs="Tajawal"/>
        </w:rPr>
      </w:pPr>
      <w:r w:rsidRPr="009A0155">
        <w:rPr>
          <w:rFonts w:ascii="Tajawal" w:hAnsi="Tajawal" w:cs="Tajawal" w:hint="cs"/>
        </w:rPr>
        <w:t>Payment deferment systems are subject to financial regulations that vary across regions. Compliance with consumer protection laws, transparency in terms, and adherence to anti-money laundering protocols are non-negotiable for SNPL providers.</w:t>
      </w:r>
    </w:p>
    <w:p w14:paraId="2CAF0436" w14:textId="77777777" w:rsidR="00846D34" w:rsidRPr="009A0155" w:rsidRDefault="00846D34" w:rsidP="00846D34">
      <w:pPr>
        <w:pStyle w:val="Heading1"/>
        <w:rPr>
          <w:rFonts w:ascii="Tajawal" w:hAnsi="Tajawal" w:cs="Tajawal"/>
        </w:rPr>
      </w:pPr>
      <w:r w:rsidRPr="009A0155">
        <w:rPr>
          <w:rFonts w:ascii="Tajawal" w:hAnsi="Tajawal" w:cs="Tajawal" w:hint="cs"/>
        </w:rPr>
        <w:t>Implementation Strategy</w:t>
      </w:r>
    </w:p>
    <w:p w14:paraId="51416561" w14:textId="77777777" w:rsidR="00846D34" w:rsidRPr="009A0155" w:rsidRDefault="00846D34" w:rsidP="00846D34">
      <w:pPr>
        <w:pStyle w:val="Heading2"/>
        <w:rPr>
          <w:rFonts w:ascii="Tajawal" w:hAnsi="Tajawal" w:cs="Tajawal"/>
        </w:rPr>
      </w:pPr>
      <w:r w:rsidRPr="009A0155">
        <w:rPr>
          <w:rFonts w:ascii="Tajawal" w:hAnsi="Tajawal" w:cs="Tajawal" w:hint="cs"/>
        </w:rPr>
        <w:t>Phased Rollout</w:t>
      </w:r>
    </w:p>
    <w:p w14:paraId="54DB2B4E" w14:textId="77777777" w:rsidR="00846D34" w:rsidRPr="009A0155" w:rsidRDefault="00846D34" w:rsidP="00846D34">
      <w:pPr>
        <w:rPr>
          <w:rFonts w:ascii="Tajawal" w:hAnsi="Tajawal" w:cs="Tajawal"/>
        </w:rPr>
      </w:pPr>
      <w:r w:rsidRPr="009A0155">
        <w:rPr>
          <w:rFonts w:ascii="Tajawal" w:hAnsi="Tajawal" w:cs="Tajawal" w:hint="cs"/>
        </w:rPr>
        <w:t>A phased rollout allows businesses to test the SNPL system on a small scale before full implementation. This minimizes risks and provides valuable feedback for optimization.</w:t>
      </w:r>
    </w:p>
    <w:p w14:paraId="77192CD8" w14:textId="77777777" w:rsidR="00846D34" w:rsidRPr="009A0155" w:rsidRDefault="00846D34" w:rsidP="00846D34">
      <w:pPr>
        <w:pStyle w:val="Heading2"/>
        <w:rPr>
          <w:rFonts w:ascii="Tajawal" w:hAnsi="Tajawal" w:cs="Tajawal"/>
        </w:rPr>
      </w:pPr>
      <w:r w:rsidRPr="009A0155">
        <w:rPr>
          <w:rFonts w:ascii="Tajawal" w:hAnsi="Tajawal" w:cs="Tajawal" w:hint="cs"/>
        </w:rPr>
        <w:t>Customer Education</w:t>
      </w:r>
    </w:p>
    <w:p w14:paraId="1BDA4EAF" w14:textId="77777777" w:rsidR="00846D34" w:rsidRPr="009A0155" w:rsidRDefault="00846D34" w:rsidP="00846D34">
      <w:pPr>
        <w:rPr>
          <w:rFonts w:ascii="Tajawal" w:hAnsi="Tajawal" w:cs="Tajawal"/>
        </w:rPr>
      </w:pPr>
      <w:r w:rsidRPr="009A0155">
        <w:rPr>
          <w:rFonts w:ascii="Tajawal" w:hAnsi="Tajawal" w:cs="Tajawal" w:hint="cs"/>
        </w:rPr>
        <w:t>Educating consumers on the benefits and responsibilities of SNPL is essential for building trust and ensuring successful adoption. Clear communication about payment terms, fees, and penalties is key.</w:t>
      </w:r>
    </w:p>
    <w:p w14:paraId="21095EED" w14:textId="77777777" w:rsidR="00846D34" w:rsidRPr="009A0155" w:rsidRDefault="00846D34" w:rsidP="00846D34">
      <w:pPr>
        <w:pStyle w:val="Heading1"/>
        <w:rPr>
          <w:rFonts w:ascii="Tajawal" w:hAnsi="Tajawal" w:cs="Tajawal"/>
        </w:rPr>
      </w:pPr>
      <w:r w:rsidRPr="009A0155">
        <w:rPr>
          <w:rFonts w:ascii="Tajawal" w:hAnsi="Tajawal" w:cs="Tajawal" w:hint="cs"/>
        </w:rPr>
        <w:t>Conclusion</w:t>
      </w:r>
    </w:p>
    <w:p w14:paraId="7F8B6B48" w14:textId="77777777" w:rsidR="00846D34" w:rsidRDefault="00846D34" w:rsidP="00846D34">
      <w:pPr>
        <w:rPr>
          <w:rFonts w:ascii="Tajawal" w:hAnsi="Tajawal" w:cs="Tajawal"/>
        </w:rPr>
      </w:pPr>
      <w:r w:rsidRPr="009A0155">
        <w:rPr>
          <w:rFonts w:ascii="Tajawal" w:hAnsi="Tajawal" w:cs="Tajawal" w:hint="cs"/>
        </w:rPr>
        <w:t>The "Send Now, Pay Later" model holds significant promise for businesses and consumers alike. Its feasibility depends on striking a balance between technological innovation, financial sustainability, and risk management. With proper planning and execution, SNPL could become a transformative pillar in modern payment systems.</w:t>
      </w:r>
    </w:p>
    <w:p w14:paraId="2575BD14" w14:textId="77777777" w:rsidR="00C541A4" w:rsidRDefault="00C541A4" w:rsidP="00846D34">
      <w:pPr>
        <w:rPr>
          <w:rFonts w:ascii="Tajawal" w:hAnsi="Tajawal" w:cs="Tajawal"/>
        </w:rPr>
      </w:pPr>
    </w:p>
    <w:p w14:paraId="1E740BFD" w14:textId="77777777" w:rsidR="00C541A4" w:rsidRDefault="00C541A4" w:rsidP="00846D34">
      <w:pPr>
        <w:rPr>
          <w:rFonts w:ascii="Tajawal" w:hAnsi="Tajawal" w:cs="Tajawal"/>
        </w:rPr>
      </w:pPr>
    </w:p>
    <w:p w14:paraId="4D7DABCE" w14:textId="77777777" w:rsidR="00C541A4" w:rsidRDefault="00C541A4" w:rsidP="00846D34">
      <w:pPr>
        <w:rPr>
          <w:rFonts w:ascii="Tajawal" w:hAnsi="Tajawal" w:cs="Tajawal"/>
        </w:rPr>
      </w:pPr>
    </w:p>
    <w:p w14:paraId="2AB31FFD" w14:textId="77777777" w:rsidR="00C541A4" w:rsidRPr="009A0155" w:rsidRDefault="00C541A4" w:rsidP="00846D34">
      <w:pPr>
        <w:rPr>
          <w:rFonts w:ascii="Tajawal" w:hAnsi="Tajawal" w:cs="Tajawal"/>
        </w:rPr>
      </w:pPr>
    </w:p>
    <w:p w14:paraId="229FAA69" w14:textId="77777777" w:rsidR="00846D34" w:rsidRPr="009A0155" w:rsidRDefault="00846D34" w:rsidP="00846D34">
      <w:pPr>
        <w:pStyle w:val="Heading1"/>
        <w:rPr>
          <w:rFonts w:ascii="Tajawal" w:hAnsi="Tajawal" w:cs="Tajawal"/>
        </w:rPr>
      </w:pPr>
      <w:r w:rsidRPr="009A0155">
        <w:rPr>
          <w:rFonts w:ascii="Tajawal" w:hAnsi="Tajawal" w:cs="Tajawal" w:hint="cs"/>
        </w:rPr>
        <w:lastRenderedPageBreak/>
        <w:t>Recommendations</w:t>
      </w:r>
    </w:p>
    <w:p w14:paraId="62593E5B" w14:textId="77777777" w:rsidR="00846D34" w:rsidRPr="009A0155" w:rsidRDefault="00846D34" w:rsidP="00846D34">
      <w:pPr>
        <w:pStyle w:val="ListParagraph"/>
        <w:numPr>
          <w:ilvl w:val="0"/>
          <w:numId w:val="23"/>
        </w:numPr>
        <w:rPr>
          <w:rFonts w:ascii="Tajawal" w:hAnsi="Tajawal" w:cs="Tajawal"/>
        </w:rPr>
      </w:pPr>
      <w:r w:rsidRPr="009A0155">
        <w:rPr>
          <w:rFonts w:ascii="Tajawal" w:hAnsi="Tajawal" w:cs="Tajawal" w:hint="cs"/>
        </w:rPr>
        <w:t>Conduct pilot programs to test market readiness and operational efficiency.</w:t>
      </w:r>
    </w:p>
    <w:p w14:paraId="14BA1C73" w14:textId="77777777" w:rsidR="00846D34" w:rsidRPr="009A0155" w:rsidRDefault="00846D34" w:rsidP="00846D34">
      <w:pPr>
        <w:pStyle w:val="ListParagraph"/>
        <w:numPr>
          <w:ilvl w:val="0"/>
          <w:numId w:val="23"/>
        </w:numPr>
        <w:rPr>
          <w:rFonts w:ascii="Tajawal" w:hAnsi="Tajawal" w:cs="Tajawal"/>
        </w:rPr>
      </w:pPr>
      <w:r w:rsidRPr="009A0155">
        <w:rPr>
          <w:rFonts w:ascii="Tajawal" w:hAnsi="Tajawal" w:cs="Tajawal" w:hint="cs"/>
        </w:rPr>
        <w:t>Invest in advanced analytics and AI for risk management.</w:t>
      </w:r>
    </w:p>
    <w:p w14:paraId="42E23720" w14:textId="77777777" w:rsidR="00846D34" w:rsidRPr="009A0155" w:rsidRDefault="00846D34" w:rsidP="00846D34">
      <w:pPr>
        <w:pStyle w:val="ListParagraph"/>
        <w:numPr>
          <w:ilvl w:val="0"/>
          <w:numId w:val="23"/>
        </w:numPr>
        <w:rPr>
          <w:rFonts w:ascii="Tajawal" w:hAnsi="Tajawal" w:cs="Tajawal"/>
        </w:rPr>
      </w:pPr>
      <w:r w:rsidRPr="009A0155">
        <w:rPr>
          <w:rFonts w:ascii="Tajawal" w:hAnsi="Tajawal" w:cs="Tajawal" w:hint="cs"/>
        </w:rPr>
        <w:t>Collaborate with financial institutions to expand payment options.</w:t>
      </w:r>
    </w:p>
    <w:p w14:paraId="7B69AE2C" w14:textId="77777777" w:rsidR="00846D34" w:rsidRPr="009A0155" w:rsidRDefault="00846D34" w:rsidP="00846D34">
      <w:pPr>
        <w:pStyle w:val="ListParagraph"/>
        <w:numPr>
          <w:ilvl w:val="0"/>
          <w:numId w:val="23"/>
        </w:numPr>
        <w:rPr>
          <w:rFonts w:ascii="Tajawal" w:hAnsi="Tajawal" w:cs="Tajawal"/>
        </w:rPr>
      </w:pPr>
      <w:r w:rsidRPr="009A0155">
        <w:rPr>
          <w:rFonts w:ascii="Tajawal" w:hAnsi="Tajawal" w:cs="Tajawal" w:hint="cs"/>
        </w:rPr>
        <w:t>Ensure compliance with legal and regulatory frameworks.</w:t>
      </w:r>
    </w:p>
    <w:p w14:paraId="204BCF3D" w14:textId="77777777" w:rsidR="00846D34" w:rsidRPr="009A0155" w:rsidRDefault="00846D34" w:rsidP="00846D34">
      <w:pPr>
        <w:pStyle w:val="ListParagraph"/>
        <w:numPr>
          <w:ilvl w:val="0"/>
          <w:numId w:val="23"/>
        </w:numPr>
        <w:rPr>
          <w:rFonts w:ascii="Tajawal" w:hAnsi="Tajawal" w:cs="Tajawal"/>
        </w:rPr>
      </w:pPr>
      <w:r w:rsidRPr="009A0155">
        <w:rPr>
          <w:rFonts w:ascii="Tajawal" w:hAnsi="Tajawal" w:cs="Tajawal" w:hint="cs"/>
        </w:rPr>
        <w:t>Develop a robust customer support system to address user concerns.</w:t>
      </w:r>
    </w:p>
    <w:p w14:paraId="175A1760" w14:textId="77777777" w:rsidR="00846D34" w:rsidRPr="009A0155" w:rsidRDefault="00846D34" w:rsidP="00846D34">
      <w:pPr>
        <w:rPr>
          <w:rFonts w:ascii="Tajawal" w:hAnsi="Tajawal" w:cs="Tajawal"/>
        </w:rPr>
      </w:pPr>
    </w:p>
    <w:p w14:paraId="679D9484" w14:textId="77777777" w:rsidR="00502065" w:rsidRPr="009A0155" w:rsidRDefault="00502065" w:rsidP="00913B03">
      <w:pPr>
        <w:rPr>
          <w:rFonts w:ascii="Tajawal" w:hAnsi="Tajawal" w:cs="Tajawal"/>
        </w:rPr>
      </w:pPr>
    </w:p>
    <w:sectPr w:rsidR="00502065" w:rsidRPr="009A01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jawal">
    <w:panose1 w:val="00000500000000000000"/>
    <w:charset w:val="B2"/>
    <w:family w:val="auto"/>
    <w:pitch w:val="variable"/>
    <w:sig w:usb0="8000202F" w:usb1="9000204A" w:usb2="00000008" w:usb3="00000000" w:csb0="00000041"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A633B"/>
    <w:multiLevelType w:val="hybridMultilevel"/>
    <w:tmpl w:val="2EE8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7B7850"/>
    <w:multiLevelType w:val="hybridMultilevel"/>
    <w:tmpl w:val="BA24A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E17400"/>
    <w:multiLevelType w:val="hybridMultilevel"/>
    <w:tmpl w:val="EB105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963AD7"/>
    <w:multiLevelType w:val="hybridMultilevel"/>
    <w:tmpl w:val="2806D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7A64DE"/>
    <w:multiLevelType w:val="hybridMultilevel"/>
    <w:tmpl w:val="E85CD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2D5AB4"/>
    <w:multiLevelType w:val="hybridMultilevel"/>
    <w:tmpl w:val="095A3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6267AE"/>
    <w:multiLevelType w:val="hybridMultilevel"/>
    <w:tmpl w:val="A70CE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097D54"/>
    <w:multiLevelType w:val="hybridMultilevel"/>
    <w:tmpl w:val="B8761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2655AF"/>
    <w:multiLevelType w:val="hybridMultilevel"/>
    <w:tmpl w:val="9EC20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6A6E50"/>
    <w:multiLevelType w:val="hybridMultilevel"/>
    <w:tmpl w:val="8E98C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8A69FD"/>
    <w:multiLevelType w:val="hybridMultilevel"/>
    <w:tmpl w:val="96C46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0306C1"/>
    <w:multiLevelType w:val="hybridMultilevel"/>
    <w:tmpl w:val="83DAB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05053E"/>
    <w:multiLevelType w:val="hybridMultilevel"/>
    <w:tmpl w:val="A0EC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CF12E0"/>
    <w:multiLevelType w:val="hybridMultilevel"/>
    <w:tmpl w:val="9C669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0D2A94"/>
    <w:multiLevelType w:val="hybridMultilevel"/>
    <w:tmpl w:val="3F448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BE438E"/>
    <w:multiLevelType w:val="hybridMultilevel"/>
    <w:tmpl w:val="B450F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9330A4"/>
    <w:multiLevelType w:val="hybridMultilevel"/>
    <w:tmpl w:val="74AEB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BD33DE"/>
    <w:multiLevelType w:val="hybridMultilevel"/>
    <w:tmpl w:val="2D9E6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EB0783"/>
    <w:multiLevelType w:val="hybridMultilevel"/>
    <w:tmpl w:val="AB2A1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5250F0"/>
    <w:multiLevelType w:val="hybridMultilevel"/>
    <w:tmpl w:val="BE648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7D59EC"/>
    <w:multiLevelType w:val="multilevel"/>
    <w:tmpl w:val="06C4DF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95206B2"/>
    <w:multiLevelType w:val="hybridMultilevel"/>
    <w:tmpl w:val="03D66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AE3206"/>
    <w:multiLevelType w:val="hybridMultilevel"/>
    <w:tmpl w:val="B80C2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0C5927"/>
    <w:multiLevelType w:val="hybridMultilevel"/>
    <w:tmpl w:val="F0FEF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4967351">
    <w:abstractNumId w:val="19"/>
  </w:num>
  <w:num w:numId="2" w16cid:durableId="1948078443">
    <w:abstractNumId w:val="13"/>
  </w:num>
  <w:num w:numId="3" w16cid:durableId="1801075450">
    <w:abstractNumId w:val="12"/>
  </w:num>
  <w:num w:numId="4" w16cid:durableId="1780951003">
    <w:abstractNumId w:val="5"/>
  </w:num>
  <w:num w:numId="5" w16cid:durableId="1913731787">
    <w:abstractNumId w:val="9"/>
  </w:num>
  <w:num w:numId="6" w16cid:durableId="393087933">
    <w:abstractNumId w:val="0"/>
  </w:num>
  <w:num w:numId="7" w16cid:durableId="1799294789">
    <w:abstractNumId w:val="1"/>
  </w:num>
  <w:num w:numId="8" w16cid:durableId="1479956465">
    <w:abstractNumId w:val="2"/>
  </w:num>
  <w:num w:numId="9" w16cid:durableId="267858653">
    <w:abstractNumId w:val="21"/>
  </w:num>
  <w:num w:numId="10" w16cid:durableId="843125642">
    <w:abstractNumId w:val="11"/>
  </w:num>
  <w:num w:numId="11" w16cid:durableId="1309895148">
    <w:abstractNumId w:val="14"/>
  </w:num>
  <w:num w:numId="12" w16cid:durableId="1366634368">
    <w:abstractNumId w:val="22"/>
  </w:num>
  <w:num w:numId="13" w16cid:durableId="1552155941">
    <w:abstractNumId w:val="4"/>
  </w:num>
  <w:num w:numId="14" w16cid:durableId="1522013457">
    <w:abstractNumId w:val="18"/>
  </w:num>
  <w:num w:numId="15" w16cid:durableId="710037676">
    <w:abstractNumId w:val="8"/>
  </w:num>
  <w:num w:numId="16" w16cid:durableId="340354816">
    <w:abstractNumId w:val="6"/>
  </w:num>
  <w:num w:numId="17" w16cid:durableId="1132209926">
    <w:abstractNumId w:val="15"/>
  </w:num>
  <w:num w:numId="18" w16cid:durableId="1813330773">
    <w:abstractNumId w:val="17"/>
  </w:num>
  <w:num w:numId="19" w16cid:durableId="1762141586">
    <w:abstractNumId w:val="3"/>
  </w:num>
  <w:num w:numId="20" w16cid:durableId="1412509893">
    <w:abstractNumId w:val="7"/>
  </w:num>
  <w:num w:numId="21" w16cid:durableId="1901594285">
    <w:abstractNumId w:val="16"/>
  </w:num>
  <w:num w:numId="22" w16cid:durableId="364521445">
    <w:abstractNumId w:val="10"/>
  </w:num>
  <w:num w:numId="23" w16cid:durableId="2005163911">
    <w:abstractNumId w:val="23"/>
  </w:num>
  <w:num w:numId="24" w16cid:durableId="117522285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B03"/>
    <w:rsid w:val="00140334"/>
    <w:rsid w:val="003E4A6B"/>
    <w:rsid w:val="003F701C"/>
    <w:rsid w:val="00401C50"/>
    <w:rsid w:val="00452F69"/>
    <w:rsid w:val="004E6AEE"/>
    <w:rsid w:val="00502065"/>
    <w:rsid w:val="005D5833"/>
    <w:rsid w:val="00654740"/>
    <w:rsid w:val="00724A6F"/>
    <w:rsid w:val="007D0C40"/>
    <w:rsid w:val="00800141"/>
    <w:rsid w:val="00846D34"/>
    <w:rsid w:val="0084747C"/>
    <w:rsid w:val="00913B03"/>
    <w:rsid w:val="00946DA4"/>
    <w:rsid w:val="00973347"/>
    <w:rsid w:val="009A0155"/>
    <w:rsid w:val="00A42DB8"/>
    <w:rsid w:val="00AE013A"/>
    <w:rsid w:val="00B50C68"/>
    <w:rsid w:val="00C06D03"/>
    <w:rsid w:val="00C23619"/>
    <w:rsid w:val="00C541A4"/>
    <w:rsid w:val="00D028BD"/>
    <w:rsid w:val="00D6348C"/>
    <w:rsid w:val="00D67AFF"/>
    <w:rsid w:val="00DC3258"/>
    <w:rsid w:val="00EB6B13"/>
    <w:rsid w:val="00ED416C"/>
    <w:rsid w:val="00ED43EC"/>
    <w:rsid w:val="00F34653"/>
  </w:rsids>
  <m:mathPr>
    <m:mathFont m:val="Cambria Math"/>
    <m:brkBin m:val="before"/>
    <m:brkBinSub m:val="--"/>
    <m:smallFrac m:val="0"/>
    <m:dispDef/>
    <m:lMargin m:val="0"/>
    <m:rMargin m:val="0"/>
    <m:defJc m:val="centerGroup"/>
    <m:wrapIndent m:val="1440"/>
    <m:intLim m:val="subSup"/>
    <m:naryLim m:val="undOvr"/>
  </m:mathPr>
  <w:themeFontLang w:val="en-Y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306D7"/>
  <w15:chartTrackingRefBased/>
  <w15:docId w15:val="{30776E21-E4D5-9D46-A3BA-6D2912138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jawal" w:eastAsia="Arial" w:hAnsi="Tajawal" w:cs="Tajawal"/>
        <w:kern w:val="2"/>
        <w:sz w:val="24"/>
        <w:szCs w:val="24"/>
        <w:lang w:val="en-Y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01C"/>
    <w:pPr>
      <w:spacing w:line="276" w:lineRule="auto"/>
    </w:pPr>
    <w:rPr>
      <w:rFonts w:ascii="Arial" w:hAnsi="Arial" w:cs="Arial"/>
      <w:kern w:val="0"/>
      <w:sz w:val="22"/>
      <w:szCs w:val="22"/>
      <w:lang w:val="en"/>
      <w14:ligatures w14:val="none"/>
    </w:rPr>
  </w:style>
  <w:style w:type="paragraph" w:styleId="Heading1">
    <w:name w:val="heading 1"/>
    <w:basedOn w:val="Normal"/>
    <w:next w:val="Normal"/>
    <w:link w:val="Heading1Char"/>
    <w:uiPriority w:val="9"/>
    <w:qFormat/>
    <w:rsid w:val="003F70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70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701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01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F701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F701C"/>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F701C"/>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F701C"/>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F701C"/>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01C"/>
    <w:rPr>
      <w:rFonts w:asciiTheme="majorHAnsi" w:eastAsiaTheme="majorEastAsia" w:hAnsiTheme="majorHAnsi" w:cstheme="majorBidi"/>
      <w:color w:val="0F4761" w:themeColor="accent1" w:themeShade="BF"/>
      <w:kern w:val="0"/>
      <w:sz w:val="40"/>
      <w:szCs w:val="40"/>
      <w:lang w:val="en"/>
      <w14:ligatures w14:val="none"/>
    </w:rPr>
  </w:style>
  <w:style w:type="character" w:customStyle="1" w:styleId="Heading2Char">
    <w:name w:val="Heading 2 Char"/>
    <w:basedOn w:val="DefaultParagraphFont"/>
    <w:link w:val="Heading2"/>
    <w:uiPriority w:val="9"/>
    <w:rsid w:val="003F701C"/>
    <w:rPr>
      <w:rFonts w:asciiTheme="majorHAnsi" w:eastAsiaTheme="majorEastAsia" w:hAnsiTheme="majorHAnsi" w:cstheme="majorBidi"/>
      <w:color w:val="0F4761" w:themeColor="accent1" w:themeShade="BF"/>
      <w:kern w:val="0"/>
      <w:sz w:val="32"/>
      <w:szCs w:val="32"/>
      <w:lang w:val="en"/>
      <w14:ligatures w14:val="none"/>
    </w:rPr>
  </w:style>
  <w:style w:type="character" w:customStyle="1" w:styleId="Heading3Char">
    <w:name w:val="Heading 3 Char"/>
    <w:basedOn w:val="DefaultParagraphFont"/>
    <w:link w:val="Heading3"/>
    <w:uiPriority w:val="9"/>
    <w:semiHidden/>
    <w:rsid w:val="003F701C"/>
    <w:rPr>
      <w:rFonts w:asciiTheme="minorHAnsi" w:eastAsiaTheme="majorEastAsia" w:hAnsiTheme="minorHAnsi" w:cstheme="majorBidi"/>
      <w:color w:val="0F4761" w:themeColor="accent1" w:themeShade="BF"/>
      <w:kern w:val="0"/>
      <w:sz w:val="28"/>
      <w:szCs w:val="28"/>
      <w:lang w:val="en"/>
      <w14:ligatures w14:val="none"/>
    </w:rPr>
  </w:style>
  <w:style w:type="character" w:customStyle="1" w:styleId="Heading4Char">
    <w:name w:val="Heading 4 Char"/>
    <w:basedOn w:val="DefaultParagraphFont"/>
    <w:link w:val="Heading4"/>
    <w:uiPriority w:val="9"/>
    <w:semiHidden/>
    <w:rsid w:val="003F701C"/>
    <w:rPr>
      <w:rFonts w:asciiTheme="minorHAnsi" w:eastAsiaTheme="majorEastAsia" w:hAnsiTheme="minorHAnsi" w:cstheme="majorBidi"/>
      <w:i/>
      <w:iCs/>
      <w:color w:val="0F4761" w:themeColor="accent1" w:themeShade="BF"/>
      <w:kern w:val="0"/>
      <w:sz w:val="22"/>
      <w:szCs w:val="22"/>
      <w:lang w:val="en"/>
      <w14:ligatures w14:val="none"/>
    </w:rPr>
  </w:style>
  <w:style w:type="character" w:customStyle="1" w:styleId="Heading5Char">
    <w:name w:val="Heading 5 Char"/>
    <w:basedOn w:val="DefaultParagraphFont"/>
    <w:link w:val="Heading5"/>
    <w:uiPriority w:val="9"/>
    <w:semiHidden/>
    <w:rsid w:val="003F701C"/>
    <w:rPr>
      <w:rFonts w:asciiTheme="minorHAnsi" w:eastAsiaTheme="majorEastAsia" w:hAnsiTheme="minorHAnsi" w:cstheme="majorBidi"/>
      <w:color w:val="0F4761" w:themeColor="accent1" w:themeShade="BF"/>
      <w:kern w:val="0"/>
      <w:sz w:val="22"/>
      <w:szCs w:val="22"/>
      <w:lang w:val="en"/>
      <w14:ligatures w14:val="none"/>
    </w:rPr>
  </w:style>
  <w:style w:type="character" w:customStyle="1" w:styleId="Heading6Char">
    <w:name w:val="Heading 6 Char"/>
    <w:basedOn w:val="DefaultParagraphFont"/>
    <w:link w:val="Heading6"/>
    <w:uiPriority w:val="9"/>
    <w:semiHidden/>
    <w:rsid w:val="003F701C"/>
    <w:rPr>
      <w:rFonts w:asciiTheme="minorHAnsi" w:eastAsiaTheme="majorEastAsia" w:hAnsiTheme="minorHAnsi" w:cstheme="majorBidi"/>
      <w:i/>
      <w:iCs/>
      <w:color w:val="595959" w:themeColor="text1" w:themeTint="A6"/>
      <w:kern w:val="0"/>
      <w:sz w:val="22"/>
      <w:szCs w:val="22"/>
      <w:lang w:val="en"/>
      <w14:ligatures w14:val="none"/>
    </w:rPr>
  </w:style>
  <w:style w:type="character" w:customStyle="1" w:styleId="Heading7Char">
    <w:name w:val="Heading 7 Char"/>
    <w:basedOn w:val="DefaultParagraphFont"/>
    <w:link w:val="Heading7"/>
    <w:uiPriority w:val="9"/>
    <w:semiHidden/>
    <w:rsid w:val="003F701C"/>
    <w:rPr>
      <w:rFonts w:asciiTheme="minorHAnsi" w:eastAsiaTheme="majorEastAsia" w:hAnsiTheme="minorHAnsi" w:cstheme="majorBidi"/>
      <w:color w:val="595959" w:themeColor="text1" w:themeTint="A6"/>
      <w:kern w:val="0"/>
      <w:sz w:val="22"/>
      <w:szCs w:val="22"/>
      <w:lang w:val="en"/>
      <w14:ligatures w14:val="none"/>
    </w:rPr>
  </w:style>
  <w:style w:type="character" w:customStyle="1" w:styleId="Heading8Char">
    <w:name w:val="Heading 8 Char"/>
    <w:basedOn w:val="DefaultParagraphFont"/>
    <w:link w:val="Heading8"/>
    <w:uiPriority w:val="9"/>
    <w:semiHidden/>
    <w:rsid w:val="003F701C"/>
    <w:rPr>
      <w:rFonts w:asciiTheme="minorHAnsi" w:eastAsiaTheme="majorEastAsia" w:hAnsiTheme="minorHAnsi" w:cstheme="majorBidi"/>
      <w:i/>
      <w:iCs/>
      <w:color w:val="272727" w:themeColor="text1" w:themeTint="D8"/>
      <w:kern w:val="0"/>
      <w:sz w:val="22"/>
      <w:szCs w:val="22"/>
      <w:lang w:val="en"/>
      <w14:ligatures w14:val="none"/>
    </w:rPr>
  </w:style>
  <w:style w:type="character" w:customStyle="1" w:styleId="Heading9Char">
    <w:name w:val="Heading 9 Char"/>
    <w:basedOn w:val="DefaultParagraphFont"/>
    <w:link w:val="Heading9"/>
    <w:uiPriority w:val="9"/>
    <w:semiHidden/>
    <w:rsid w:val="003F701C"/>
    <w:rPr>
      <w:rFonts w:asciiTheme="minorHAnsi" w:eastAsiaTheme="majorEastAsia" w:hAnsiTheme="minorHAnsi" w:cstheme="majorBidi"/>
      <w:color w:val="272727" w:themeColor="text1" w:themeTint="D8"/>
      <w:kern w:val="0"/>
      <w:sz w:val="22"/>
      <w:szCs w:val="22"/>
      <w:lang w:val="en"/>
      <w14:ligatures w14:val="none"/>
    </w:rPr>
  </w:style>
  <w:style w:type="paragraph" w:styleId="Title">
    <w:name w:val="Title"/>
    <w:basedOn w:val="Normal"/>
    <w:next w:val="Normal"/>
    <w:link w:val="TitleChar"/>
    <w:uiPriority w:val="10"/>
    <w:qFormat/>
    <w:rsid w:val="003F70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01C"/>
    <w:rPr>
      <w:rFonts w:asciiTheme="majorHAnsi" w:eastAsiaTheme="majorEastAsia" w:hAnsiTheme="majorHAnsi" w:cstheme="majorBidi"/>
      <w:spacing w:val="-10"/>
      <w:kern w:val="28"/>
      <w:sz w:val="56"/>
      <w:szCs w:val="56"/>
      <w:lang w:val="en"/>
      <w14:ligatures w14:val="none"/>
    </w:rPr>
  </w:style>
  <w:style w:type="paragraph" w:styleId="Subtitle">
    <w:name w:val="Subtitle"/>
    <w:basedOn w:val="Normal"/>
    <w:next w:val="Normal"/>
    <w:link w:val="SubtitleChar"/>
    <w:uiPriority w:val="11"/>
    <w:qFormat/>
    <w:rsid w:val="003F701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01C"/>
    <w:rPr>
      <w:rFonts w:asciiTheme="minorHAnsi" w:eastAsiaTheme="majorEastAsia" w:hAnsiTheme="minorHAnsi" w:cstheme="majorBidi"/>
      <w:color w:val="595959" w:themeColor="text1" w:themeTint="A6"/>
      <w:spacing w:val="15"/>
      <w:kern w:val="0"/>
      <w:sz w:val="28"/>
      <w:szCs w:val="28"/>
      <w:lang w:val="en"/>
      <w14:ligatures w14:val="none"/>
    </w:rPr>
  </w:style>
  <w:style w:type="paragraph" w:styleId="ListParagraph">
    <w:name w:val="List Paragraph"/>
    <w:basedOn w:val="Normal"/>
    <w:link w:val="ListParagraphChar"/>
    <w:uiPriority w:val="34"/>
    <w:qFormat/>
    <w:rsid w:val="003F701C"/>
    <w:pPr>
      <w:ind w:left="720"/>
      <w:contextualSpacing/>
    </w:pPr>
  </w:style>
  <w:style w:type="character" w:customStyle="1" w:styleId="ListParagraphChar">
    <w:name w:val="List Paragraph Char"/>
    <w:link w:val="ListParagraph"/>
    <w:uiPriority w:val="34"/>
    <w:locked/>
    <w:rsid w:val="003F701C"/>
    <w:rPr>
      <w:rFonts w:ascii="Arial" w:eastAsia="Arial" w:hAnsi="Arial" w:cs="Arial"/>
      <w:kern w:val="0"/>
      <w:sz w:val="22"/>
      <w:szCs w:val="22"/>
      <w:lang w:val="en"/>
      <w14:ligatures w14:val="none"/>
    </w:rPr>
  </w:style>
  <w:style w:type="paragraph" w:styleId="Quote">
    <w:name w:val="Quote"/>
    <w:basedOn w:val="Normal"/>
    <w:next w:val="Normal"/>
    <w:link w:val="QuoteChar"/>
    <w:uiPriority w:val="29"/>
    <w:qFormat/>
    <w:rsid w:val="003F70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F701C"/>
    <w:rPr>
      <w:rFonts w:ascii="Arial" w:eastAsia="Arial" w:hAnsi="Arial" w:cs="Arial"/>
      <w:i/>
      <w:iCs/>
      <w:color w:val="404040" w:themeColor="text1" w:themeTint="BF"/>
      <w:kern w:val="0"/>
      <w:sz w:val="22"/>
      <w:szCs w:val="22"/>
      <w:lang w:val="en"/>
      <w14:ligatures w14:val="none"/>
    </w:rPr>
  </w:style>
  <w:style w:type="paragraph" w:styleId="IntenseQuote">
    <w:name w:val="Intense Quote"/>
    <w:basedOn w:val="Normal"/>
    <w:next w:val="Normal"/>
    <w:link w:val="IntenseQuoteChar"/>
    <w:uiPriority w:val="30"/>
    <w:qFormat/>
    <w:rsid w:val="003F70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01C"/>
    <w:rPr>
      <w:rFonts w:ascii="Arial" w:eastAsia="Arial" w:hAnsi="Arial" w:cs="Arial"/>
      <w:i/>
      <w:iCs/>
      <w:color w:val="0F4761" w:themeColor="accent1" w:themeShade="BF"/>
      <w:kern w:val="0"/>
      <w:sz w:val="22"/>
      <w:szCs w:val="22"/>
      <w:lang w:val="en"/>
      <w14:ligatures w14:val="none"/>
    </w:rPr>
  </w:style>
  <w:style w:type="character" w:styleId="IntenseEmphasis">
    <w:name w:val="Intense Emphasis"/>
    <w:basedOn w:val="DefaultParagraphFont"/>
    <w:uiPriority w:val="21"/>
    <w:qFormat/>
    <w:rsid w:val="003F701C"/>
    <w:rPr>
      <w:i/>
      <w:iCs/>
      <w:color w:val="0F4761" w:themeColor="accent1" w:themeShade="BF"/>
    </w:rPr>
  </w:style>
  <w:style w:type="character" w:styleId="IntenseReference">
    <w:name w:val="Intense Reference"/>
    <w:basedOn w:val="DefaultParagraphFont"/>
    <w:uiPriority w:val="32"/>
    <w:qFormat/>
    <w:rsid w:val="003F701C"/>
    <w:rPr>
      <w:b/>
      <w:bCs/>
      <w:smallCaps/>
      <w:color w:val="0F4761" w:themeColor="accent1" w:themeShade="BF"/>
      <w:spacing w:val="5"/>
    </w:rPr>
  </w:style>
  <w:style w:type="character" w:styleId="Hyperlink">
    <w:name w:val="Hyperlink"/>
    <w:basedOn w:val="DefaultParagraphFont"/>
    <w:uiPriority w:val="99"/>
    <w:unhideWhenUsed/>
    <w:rsid w:val="00140334"/>
    <w:rPr>
      <w:color w:val="0000FF"/>
      <w:u w:val="single"/>
    </w:rPr>
  </w:style>
  <w:style w:type="character" w:styleId="UnresolvedMention">
    <w:name w:val="Unresolved Mention"/>
    <w:basedOn w:val="DefaultParagraphFont"/>
    <w:uiPriority w:val="99"/>
    <w:semiHidden/>
    <w:unhideWhenUsed/>
    <w:rsid w:val="001403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35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3267</Words>
  <Characters>21123</Characters>
  <Application>Microsoft Office Word</Application>
  <DocSecurity>0</DocSecurity>
  <Lines>451</Lines>
  <Paragraphs>241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Gabr</dc:creator>
  <cp:keywords/>
  <dc:description/>
  <cp:lastModifiedBy>Khalid Gabr</cp:lastModifiedBy>
  <cp:revision>2</cp:revision>
  <dcterms:created xsi:type="dcterms:W3CDTF">2026-05-20T09:39:00Z</dcterms:created>
  <dcterms:modified xsi:type="dcterms:W3CDTF">2026-05-20T09:39:00Z</dcterms:modified>
</cp:coreProperties>
</file>