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3E48CB" w14:textId="77777777" w:rsidR="009475A0" w:rsidRPr="00AD6E5C" w:rsidRDefault="00000000">
      <w:pPr>
        <w:pStyle w:val="Title"/>
        <w:rPr>
          <w:rFonts w:ascii="Tajawal" w:hAnsi="Tajawal" w:cs="Tajawal" w:hint="cs"/>
        </w:rPr>
      </w:pPr>
      <w:r w:rsidRPr="00AD6E5C">
        <w:rPr>
          <w:rFonts w:ascii="Tajawal" w:hAnsi="Tajawal" w:cs="Tajawal" w:hint="cs"/>
        </w:rPr>
        <w:t>Investor Methodology Note</w:t>
      </w:r>
    </w:p>
    <w:p w14:paraId="787B51DC" w14:textId="77777777" w:rsidR="009475A0" w:rsidRPr="00AD6E5C" w:rsidRDefault="00000000">
      <w:pPr>
        <w:pStyle w:val="Subtitle"/>
        <w:rPr>
          <w:rFonts w:ascii="Tajawal" w:hAnsi="Tajawal" w:cs="Tajawal" w:hint="cs"/>
        </w:rPr>
      </w:pPr>
      <w:r w:rsidRPr="00AD6E5C">
        <w:rPr>
          <w:rFonts w:ascii="Tajawal" w:hAnsi="Tajawal" w:cs="Tajawal" w:hint="cs"/>
        </w:rPr>
        <w:t>CashLine SNPL Egypt Investor Valuation Model, 2026-2031</w:t>
      </w:r>
    </w:p>
    <w:p w14:paraId="2E005504" w14:textId="663FC03A" w:rsidR="009475A0" w:rsidRPr="00AD6E5C" w:rsidRDefault="00000000">
      <w:pPr>
        <w:pStyle w:val="Meta"/>
        <w:pBdr>
          <w:bottom w:val="single" w:sz="8" w:space="4" w:color="9FB6CA"/>
        </w:pBdr>
        <w:rPr>
          <w:rFonts w:ascii="Tajawal" w:hAnsi="Tajawal" w:cs="Tajawal" w:hint="cs"/>
        </w:rPr>
      </w:pPr>
      <w:r w:rsidRPr="00AD6E5C">
        <w:rPr>
          <w:rFonts w:ascii="Tajawal" w:hAnsi="Tajawal" w:cs="Tajawal" w:hint="cs"/>
        </w:rPr>
        <w:t>Workbook: Egypt_SNPL_Investor_Valuation_26_31.xlsx | Audience: Investors, executives, board, strategy, finance, and risk reviewers</w:t>
      </w:r>
    </w:p>
    <w:tbl>
      <w:tblPr>
        <w:tblW w:w="9360" w:type="dxa"/>
        <w:tblBorders>
          <w:top w:val="nil"/>
          <w:left w:val="single" w:sz="24" w:space="0" w:color="0F3557"/>
          <w:bottom w:val="nil"/>
          <w:right w:val="nil"/>
          <w:insideH w:val="nil"/>
          <w:insideV w:val="nil"/>
        </w:tblBorders>
        <w:tblCellMar>
          <w:top w:w="140" w:type="dxa"/>
          <w:left w:w="180" w:type="dxa"/>
          <w:bottom w:w="140" w:type="dxa"/>
          <w:right w:w="180" w:type="dxa"/>
        </w:tblCellMar>
        <w:tblLook w:val="0000" w:firstRow="0" w:lastRow="0" w:firstColumn="0" w:lastColumn="0" w:noHBand="0" w:noVBand="0"/>
      </w:tblPr>
      <w:tblGrid>
        <w:gridCol w:w="9360"/>
      </w:tblGrid>
      <w:tr w:rsidR="009475A0" w:rsidRPr="00AD6E5C" w14:paraId="3489A482" w14:textId="77777777">
        <w:tc>
          <w:tcPr>
            <w:tcW w:w="9360" w:type="dxa"/>
            <w:shd w:val="clear" w:color="auto" w:fill="EAF4FB"/>
          </w:tcPr>
          <w:p w14:paraId="5DCA4A1A" w14:textId="77777777" w:rsidR="009475A0" w:rsidRPr="00AD6E5C" w:rsidRDefault="00000000" w:rsidP="00AD6E5C">
            <w:pPr>
              <w:jc w:val="both"/>
              <w:rPr>
                <w:rFonts w:ascii="Tajawal" w:hAnsi="Tajawal" w:cs="Tajawal" w:hint="cs"/>
              </w:rPr>
            </w:pPr>
            <w:r w:rsidRPr="00AD6E5C">
              <w:rPr>
                <w:rFonts w:ascii="Tajawal" w:hAnsi="Tajawal" w:cs="Tajawal" w:hint="cs"/>
              </w:rPr>
              <w:t>Executive reading point. This workbook is a pre-go-live investor valuation model. It does not value CashLine using current profit because the company is still pre-operating. It values the opportunity using Egypt remittance TAM, corridor capture, transaction volume, revenue take-rate, SNPL adoption, operating cost discipline, and strategic platform potential.</w:t>
            </w:r>
          </w:p>
        </w:tc>
      </w:tr>
    </w:tbl>
    <w:p w14:paraId="1F78D9A2" w14:textId="77777777" w:rsidR="009475A0" w:rsidRPr="00AD6E5C" w:rsidRDefault="00000000">
      <w:pPr>
        <w:pStyle w:val="Heading1"/>
        <w:rPr>
          <w:rFonts w:ascii="Tajawal" w:hAnsi="Tajawal" w:cs="Tajawal" w:hint="cs"/>
        </w:rPr>
      </w:pPr>
      <w:r w:rsidRPr="00AD6E5C">
        <w:rPr>
          <w:rFonts w:ascii="Tajawal" w:hAnsi="Tajawal" w:cs="Tajawal" w:hint="cs"/>
        </w:rPr>
        <w:t>1. Purpose of This Note</w:t>
      </w:r>
    </w:p>
    <w:p w14:paraId="7A41DD7C" w14:textId="77777777" w:rsidR="009475A0" w:rsidRPr="00AD6E5C" w:rsidRDefault="00000000" w:rsidP="00AD6E5C">
      <w:pPr>
        <w:jc w:val="both"/>
        <w:rPr>
          <w:rFonts w:ascii="Tajawal" w:hAnsi="Tajawal" w:cs="Tajawal" w:hint="cs"/>
        </w:rPr>
      </w:pPr>
      <w:r w:rsidRPr="00AD6E5C">
        <w:rPr>
          <w:rFonts w:ascii="Tajawal" w:hAnsi="Tajawal" w:cs="Tajawal" w:hint="cs"/>
        </w:rPr>
        <w:t>This note explains how the valuation workbook was built, how each module should be read, what evidence supports the assumptions, where the opportunity exists, and what limitations investors should consider before relying on the outputs.</w:t>
      </w:r>
    </w:p>
    <w:p w14:paraId="4BDAE2BF" w14:textId="77777777" w:rsidR="009475A0" w:rsidRPr="00AD6E5C" w:rsidRDefault="00000000" w:rsidP="00AD6E5C">
      <w:pPr>
        <w:jc w:val="both"/>
        <w:rPr>
          <w:rFonts w:ascii="Tajawal" w:hAnsi="Tajawal" w:cs="Tajawal" w:hint="cs"/>
        </w:rPr>
      </w:pPr>
      <w:r w:rsidRPr="00AD6E5C">
        <w:rPr>
          <w:rFonts w:ascii="Tajawal" w:hAnsi="Tajawal" w:cs="Tajawal" w:hint="cs"/>
        </w:rPr>
        <w:t>The model should be used as an investor discussion tool and strategic planning model. It is not an audited valuation report, statutory financial statement, fairness opinion, legal opinion, or regulatory submission. Its purpose is to create a transparent framework for discussing the commercial potential of the CashLine SNPL model in Egypt.</w:t>
      </w:r>
    </w:p>
    <w:p w14:paraId="2739873D" w14:textId="77777777" w:rsidR="009475A0" w:rsidRPr="00AD6E5C" w:rsidRDefault="00000000">
      <w:pPr>
        <w:pStyle w:val="Heading1"/>
        <w:rPr>
          <w:rFonts w:ascii="Tajawal" w:hAnsi="Tajawal" w:cs="Tajawal" w:hint="cs"/>
        </w:rPr>
      </w:pPr>
      <w:r w:rsidRPr="00AD6E5C">
        <w:rPr>
          <w:rFonts w:ascii="Tajawal" w:hAnsi="Tajawal" w:cs="Tajawal" w:hint="cs"/>
        </w:rPr>
        <w:t>2. Business Concept Reflected in the Model</w:t>
      </w:r>
    </w:p>
    <w:p w14:paraId="6505FE6F" w14:textId="77777777" w:rsidR="009475A0" w:rsidRPr="00AD6E5C" w:rsidRDefault="00000000" w:rsidP="00AD6E5C">
      <w:pPr>
        <w:jc w:val="both"/>
        <w:rPr>
          <w:rFonts w:ascii="Tajawal" w:hAnsi="Tajawal" w:cs="Tajawal" w:hint="cs"/>
        </w:rPr>
      </w:pPr>
      <w:r w:rsidRPr="00AD6E5C">
        <w:rPr>
          <w:rFonts w:ascii="Tajawal" w:hAnsi="Tajawal" w:cs="Tajawal" w:hint="cs"/>
        </w:rPr>
        <w:t>CashLine is modeled as a remittance-enabled credit platform. The core business idea is that expatriates sending money to Egypt may need flexibility at the point of remittance. CashLine adds an SNPL layer to the remittance journey, enabling eligible customers to send now and pay later through approved creditors while preserving compliance, settlement, and operational control.</w:t>
      </w:r>
    </w:p>
    <w:p w14:paraId="31FEC8E8" w14:textId="77777777" w:rsidR="009475A0" w:rsidRDefault="00000000" w:rsidP="00AD6E5C">
      <w:pPr>
        <w:jc w:val="both"/>
        <w:rPr>
          <w:rFonts w:ascii="Tajawal" w:hAnsi="Tajawal" w:cs="Tajawal"/>
        </w:rPr>
      </w:pPr>
      <w:r w:rsidRPr="00AD6E5C">
        <w:rPr>
          <w:rFonts w:ascii="Tajawal" w:hAnsi="Tajawal" w:cs="Tajawal" w:hint="cs"/>
        </w:rPr>
        <w:t>The valuation model focuses on the Egypt opportunity only. It uses Egypt inbound remittance TAM, corridor assumptions, transaction capture, revenue streams, operating cost build, and valuation methods to estimate a fair pre-go-live investment discussion range.</w:t>
      </w:r>
    </w:p>
    <w:p w14:paraId="59E6C926" w14:textId="77777777" w:rsidR="00AD6E5C" w:rsidRDefault="00AD6E5C" w:rsidP="00AD6E5C">
      <w:pPr>
        <w:jc w:val="both"/>
        <w:rPr>
          <w:rFonts w:ascii="Tajawal" w:hAnsi="Tajawal" w:cs="Tajawal"/>
        </w:rPr>
      </w:pPr>
    </w:p>
    <w:p w14:paraId="259D87C1" w14:textId="77777777" w:rsidR="00AD6E5C" w:rsidRPr="00AD6E5C" w:rsidRDefault="00AD6E5C" w:rsidP="00AD6E5C">
      <w:pPr>
        <w:jc w:val="both"/>
        <w:rPr>
          <w:rFonts w:ascii="Tajawal" w:hAnsi="Tajawal" w:cs="Tajawal" w:hint="cs"/>
        </w:rPr>
      </w:pPr>
    </w:p>
    <w:p w14:paraId="166E4B4B" w14:textId="77777777" w:rsidR="009475A0" w:rsidRPr="00AD6E5C" w:rsidRDefault="00000000">
      <w:pPr>
        <w:pStyle w:val="Heading1"/>
        <w:rPr>
          <w:rFonts w:ascii="Tajawal" w:hAnsi="Tajawal" w:cs="Tajawal" w:hint="cs"/>
        </w:rPr>
      </w:pPr>
      <w:r w:rsidRPr="00AD6E5C">
        <w:rPr>
          <w:rFonts w:ascii="Tajawal" w:hAnsi="Tajawal" w:cs="Tajawal" w:hint="cs"/>
        </w:rPr>
        <w:lastRenderedPageBreak/>
        <w:t>3. Workbook Architecture</w:t>
      </w:r>
    </w:p>
    <w:p w14:paraId="204B3C03" w14:textId="77777777" w:rsidR="009475A0" w:rsidRPr="00AD6E5C" w:rsidRDefault="00000000" w:rsidP="00AD6E5C">
      <w:pPr>
        <w:jc w:val="both"/>
        <w:rPr>
          <w:rFonts w:ascii="Tajawal" w:hAnsi="Tajawal" w:cs="Tajawal" w:hint="cs"/>
        </w:rPr>
      </w:pPr>
      <w:r w:rsidRPr="00AD6E5C">
        <w:rPr>
          <w:rFonts w:ascii="Tajawal" w:hAnsi="Tajawal" w:cs="Tajawal" w:hint="cs"/>
        </w:rPr>
        <w:t>The workbook is structured as a model chain. Investors should read it from left to right, because each module feeds the next.</w:t>
      </w:r>
    </w:p>
    <w:tbl>
      <w:tblPr>
        <w:tblW w:w="9360" w:type="dxa"/>
        <w:tblInd w:w="120" w:type="dxa"/>
        <w:tblBorders>
          <w:top w:val="single" w:sz="4" w:space="0" w:color="B7C9D6"/>
          <w:left w:val="single" w:sz="4" w:space="0" w:color="B7C9D6"/>
          <w:bottom w:val="single" w:sz="4" w:space="0" w:color="B7C9D6"/>
          <w:right w:val="single" w:sz="4" w:space="0" w:color="B7C9D6"/>
          <w:insideH w:val="single" w:sz="4" w:space="0" w:color="B7C9D6"/>
          <w:insideV w:val="single" w:sz="4" w:space="0" w:color="B7C9D6"/>
        </w:tblBorders>
        <w:tblLayout w:type="fixed"/>
        <w:tblCellMar>
          <w:top w:w="90" w:type="dxa"/>
          <w:left w:w="120" w:type="dxa"/>
          <w:bottom w:w="90" w:type="dxa"/>
          <w:right w:w="120" w:type="dxa"/>
        </w:tblCellMar>
        <w:tblLook w:val="0000" w:firstRow="0" w:lastRow="0" w:firstColumn="0" w:lastColumn="0" w:noHBand="0" w:noVBand="0"/>
      </w:tblPr>
      <w:tblGrid>
        <w:gridCol w:w="1900"/>
        <w:gridCol w:w="3850"/>
        <w:gridCol w:w="3610"/>
      </w:tblGrid>
      <w:tr w:rsidR="009475A0" w:rsidRPr="00AD6E5C" w14:paraId="2893B7C0" w14:textId="77777777">
        <w:tc>
          <w:tcPr>
            <w:tcW w:w="1900" w:type="dxa"/>
            <w:shd w:val="clear" w:color="auto" w:fill="0F3557"/>
          </w:tcPr>
          <w:p w14:paraId="014A08AC" w14:textId="77777777" w:rsidR="009475A0" w:rsidRPr="00AD6E5C" w:rsidRDefault="00000000">
            <w:pPr>
              <w:rPr>
                <w:rFonts w:ascii="Tajawal" w:hAnsi="Tajawal" w:cs="Tajawal" w:hint="cs"/>
              </w:rPr>
            </w:pPr>
            <w:r w:rsidRPr="00AD6E5C">
              <w:rPr>
                <w:rFonts w:ascii="Tajawal" w:hAnsi="Tajawal" w:cs="Tajawal" w:hint="cs"/>
                <w:b/>
                <w:color w:val="FFFFFF"/>
              </w:rPr>
              <w:t>Core Tab</w:t>
            </w:r>
          </w:p>
        </w:tc>
        <w:tc>
          <w:tcPr>
            <w:tcW w:w="3850" w:type="dxa"/>
            <w:shd w:val="clear" w:color="auto" w:fill="0F3557"/>
          </w:tcPr>
          <w:p w14:paraId="103B7033" w14:textId="77777777" w:rsidR="009475A0" w:rsidRPr="00AD6E5C" w:rsidRDefault="00000000">
            <w:pPr>
              <w:rPr>
                <w:rFonts w:ascii="Tajawal" w:hAnsi="Tajawal" w:cs="Tajawal" w:hint="cs"/>
              </w:rPr>
            </w:pPr>
            <w:r w:rsidRPr="00AD6E5C">
              <w:rPr>
                <w:rFonts w:ascii="Tajawal" w:hAnsi="Tajawal" w:cs="Tajawal" w:hint="cs"/>
                <w:b/>
                <w:color w:val="FFFFFF"/>
              </w:rPr>
              <w:t>Purpose</w:t>
            </w:r>
          </w:p>
        </w:tc>
        <w:tc>
          <w:tcPr>
            <w:tcW w:w="3610" w:type="dxa"/>
            <w:shd w:val="clear" w:color="auto" w:fill="0F3557"/>
          </w:tcPr>
          <w:p w14:paraId="534C1378" w14:textId="77777777" w:rsidR="009475A0" w:rsidRPr="00AD6E5C" w:rsidRDefault="00000000">
            <w:pPr>
              <w:rPr>
                <w:rFonts w:ascii="Tajawal" w:hAnsi="Tajawal" w:cs="Tajawal" w:hint="cs"/>
              </w:rPr>
            </w:pPr>
            <w:r w:rsidRPr="00AD6E5C">
              <w:rPr>
                <w:rFonts w:ascii="Tajawal" w:hAnsi="Tajawal" w:cs="Tajawal" w:hint="cs"/>
                <w:b/>
                <w:color w:val="FFFFFF"/>
              </w:rPr>
              <w:t>Investor Reading Question</w:t>
            </w:r>
          </w:p>
        </w:tc>
      </w:tr>
      <w:tr w:rsidR="009475A0" w:rsidRPr="00AD6E5C" w14:paraId="028361DD" w14:textId="77777777">
        <w:tc>
          <w:tcPr>
            <w:tcW w:w="1900" w:type="dxa"/>
            <w:shd w:val="clear" w:color="auto" w:fill="FFFFFF"/>
          </w:tcPr>
          <w:p w14:paraId="45FD181E" w14:textId="77777777" w:rsidR="009475A0" w:rsidRPr="00AD6E5C" w:rsidRDefault="00000000">
            <w:pPr>
              <w:rPr>
                <w:rFonts w:ascii="Tajawal" w:hAnsi="Tajawal" w:cs="Tajawal" w:hint="cs"/>
              </w:rPr>
            </w:pPr>
            <w:r w:rsidRPr="00AD6E5C">
              <w:rPr>
                <w:rFonts w:ascii="Tajawal" w:hAnsi="Tajawal" w:cs="Tajawal" w:hint="cs"/>
              </w:rPr>
              <w:t>Inputs_Assumptions</w:t>
            </w:r>
          </w:p>
        </w:tc>
        <w:tc>
          <w:tcPr>
            <w:tcW w:w="3850" w:type="dxa"/>
            <w:shd w:val="clear" w:color="auto" w:fill="FFFFFF"/>
          </w:tcPr>
          <w:p w14:paraId="199308CC" w14:textId="77777777" w:rsidR="009475A0" w:rsidRPr="00AD6E5C" w:rsidRDefault="00000000">
            <w:pPr>
              <w:rPr>
                <w:rFonts w:ascii="Tajawal" w:hAnsi="Tajawal" w:cs="Tajawal" w:hint="cs"/>
              </w:rPr>
            </w:pPr>
            <w:r w:rsidRPr="00AD6E5C">
              <w:rPr>
                <w:rFonts w:ascii="Tajawal" w:hAnsi="Tajawal" w:cs="Tajawal" w:hint="cs"/>
              </w:rPr>
              <w:t>Central control sheet for market, transaction, revenue, cost, tax, and valuation assumptions.</w:t>
            </w:r>
          </w:p>
        </w:tc>
        <w:tc>
          <w:tcPr>
            <w:tcW w:w="3610" w:type="dxa"/>
            <w:shd w:val="clear" w:color="auto" w:fill="FFFFFF"/>
          </w:tcPr>
          <w:p w14:paraId="38C5420B" w14:textId="77777777" w:rsidR="009475A0" w:rsidRPr="00AD6E5C" w:rsidRDefault="00000000">
            <w:pPr>
              <w:rPr>
                <w:rFonts w:ascii="Tajawal" w:hAnsi="Tajawal" w:cs="Tajawal" w:hint="cs"/>
              </w:rPr>
            </w:pPr>
            <w:r w:rsidRPr="00AD6E5C">
              <w:rPr>
                <w:rFonts w:ascii="Tajawal" w:hAnsi="Tajawal" w:cs="Tajawal" w:hint="cs"/>
              </w:rPr>
              <w:t>What assumptions drive the model, and are they reasonable for a pre-go-live platform?</w:t>
            </w:r>
          </w:p>
        </w:tc>
      </w:tr>
      <w:tr w:rsidR="009475A0" w:rsidRPr="00AD6E5C" w14:paraId="03D4F4A0" w14:textId="77777777">
        <w:tc>
          <w:tcPr>
            <w:tcW w:w="1900" w:type="dxa"/>
            <w:shd w:val="clear" w:color="auto" w:fill="F8FBFD"/>
          </w:tcPr>
          <w:p w14:paraId="054E01CD" w14:textId="77777777" w:rsidR="009475A0" w:rsidRPr="00AD6E5C" w:rsidRDefault="00000000">
            <w:pPr>
              <w:rPr>
                <w:rFonts w:ascii="Tajawal" w:hAnsi="Tajawal" w:cs="Tajawal" w:hint="cs"/>
              </w:rPr>
            </w:pPr>
            <w:r w:rsidRPr="00AD6E5C">
              <w:rPr>
                <w:rFonts w:ascii="Tajawal" w:hAnsi="Tajawal" w:cs="Tajawal" w:hint="cs"/>
              </w:rPr>
              <w:t>TAM</w:t>
            </w:r>
          </w:p>
        </w:tc>
        <w:tc>
          <w:tcPr>
            <w:tcW w:w="3850" w:type="dxa"/>
            <w:shd w:val="clear" w:color="auto" w:fill="F8FBFD"/>
          </w:tcPr>
          <w:p w14:paraId="1CA7D6E4" w14:textId="77777777" w:rsidR="009475A0" w:rsidRPr="00AD6E5C" w:rsidRDefault="00000000">
            <w:pPr>
              <w:rPr>
                <w:rFonts w:ascii="Tajawal" w:hAnsi="Tajawal" w:cs="Tajawal" w:hint="cs"/>
              </w:rPr>
            </w:pPr>
            <w:r w:rsidRPr="00AD6E5C">
              <w:rPr>
                <w:rFonts w:ascii="Tajawal" w:hAnsi="Tajawal" w:cs="Tajawal" w:hint="cs"/>
              </w:rPr>
              <w:t>Builds total addressable Egypt remittance market projection from the 2025 official anchor.</w:t>
            </w:r>
          </w:p>
        </w:tc>
        <w:tc>
          <w:tcPr>
            <w:tcW w:w="3610" w:type="dxa"/>
            <w:shd w:val="clear" w:color="auto" w:fill="F8FBFD"/>
          </w:tcPr>
          <w:p w14:paraId="6DEBA2E4" w14:textId="77777777" w:rsidR="009475A0" w:rsidRPr="00AD6E5C" w:rsidRDefault="00000000">
            <w:pPr>
              <w:rPr>
                <w:rFonts w:ascii="Tajawal" w:hAnsi="Tajawal" w:cs="Tajawal" w:hint="cs"/>
              </w:rPr>
            </w:pPr>
            <w:r w:rsidRPr="00AD6E5C">
              <w:rPr>
                <w:rFonts w:ascii="Tajawal" w:hAnsi="Tajawal" w:cs="Tajawal" w:hint="cs"/>
              </w:rPr>
              <w:t>How large is the opportunity pool?</w:t>
            </w:r>
          </w:p>
        </w:tc>
      </w:tr>
      <w:tr w:rsidR="009475A0" w:rsidRPr="00AD6E5C" w14:paraId="2FAB646C" w14:textId="77777777">
        <w:tc>
          <w:tcPr>
            <w:tcW w:w="1900" w:type="dxa"/>
            <w:shd w:val="clear" w:color="auto" w:fill="FFFFFF"/>
          </w:tcPr>
          <w:p w14:paraId="1BB951E7" w14:textId="77777777" w:rsidR="009475A0" w:rsidRPr="00AD6E5C" w:rsidRDefault="00000000">
            <w:pPr>
              <w:rPr>
                <w:rFonts w:ascii="Tajawal" w:hAnsi="Tajawal" w:cs="Tajawal" w:hint="cs"/>
              </w:rPr>
            </w:pPr>
            <w:r w:rsidRPr="00AD6E5C">
              <w:rPr>
                <w:rFonts w:ascii="Tajawal" w:hAnsi="Tajawal" w:cs="Tajawal" w:hint="cs"/>
              </w:rPr>
              <w:t>Corridor_Assumptions</w:t>
            </w:r>
          </w:p>
        </w:tc>
        <w:tc>
          <w:tcPr>
            <w:tcW w:w="3850" w:type="dxa"/>
            <w:shd w:val="clear" w:color="auto" w:fill="FFFFFF"/>
          </w:tcPr>
          <w:p w14:paraId="2F87D21A" w14:textId="77777777" w:rsidR="009475A0" w:rsidRPr="00AD6E5C" w:rsidRDefault="00000000">
            <w:pPr>
              <w:rPr>
                <w:rFonts w:ascii="Tajawal" w:hAnsi="Tajawal" w:cs="Tajawal" w:hint="cs"/>
              </w:rPr>
            </w:pPr>
            <w:r w:rsidRPr="00AD6E5C">
              <w:rPr>
                <w:rFonts w:ascii="Tajawal" w:hAnsi="Tajawal" w:cs="Tajawal" w:hint="cs"/>
              </w:rPr>
              <w:t>Allocates the opportunity across source countries and corridor confidence tiers.</w:t>
            </w:r>
          </w:p>
        </w:tc>
        <w:tc>
          <w:tcPr>
            <w:tcW w:w="3610" w:type="dxa"/>
            <w:shd w:val="clear" w:color="auto" w:fill="FFFFFF"/>
          </w:tcPr>
          <w:p w14:paraId="0893F85B" w14:textId="77777777" w:rsidR="009475A0" w:rsidRPr="00AD6E5C" w:rsidRDefault="00000000">
            <w:pPr>
              <w:rPr>
                <w:rFonts w:ascii="Tajawal" w:hAnsi="Tajawal" w:cs="Tajawal" w:hint="cs"/>
              </w:rPr>
            </w:pPr>
            <w:r w:rsidRPr="00AD6E5C">
              <w:rPr>
                <w:rFonts w:ascii="Tajawal" w:hAnsi="Tajawal" w:cs="Tajawal" w:hint="cs"/>
              </w:rPr>
              <w:t>Which corridors matter first, and how strong is the evidence?</w:t>
            </w:r>
          </w:p>
        </w:tc>
      </w:tr>
      <w:tr w:rsidR="009475A0" w:rsidRPr="00AD6E5C" w14:paraId="739118BA" w14:textId="77777777">
        <w:tc>
          <w:tcPr>
            <w:tcW w:w="1900" w:type="dxa"/>
            <w:shd w:val="clear" w:color="auto" w:fill="F8FBFD"/>
          </w:tcPr>
          <w:p w14:paraId="5D3840E6" w14:textId="77777777" w:rsidR="009475A0" w:rsidRPr="00AD6E5C" w:rsidRDefault="00000000">
            <w:pPr>
              <w:rPr>
                <w:rFonts w:ascii="Tajawal" w:hAnsi="Tajawal" w:cs="Tajawal" w:hint="cs"/>
              </w:rPr>
            </w:pPr>
            <w:r w:rsidRPr="00AD6E5C">
              <w:rPr>
                <w:rFonts w:ascii="Tajawal" w:hAnsi="Tajawal" w:cs="Tajawal" w:hint="cs"/>
              </w:rPr>
              <w:t>Transaction_Projections</w:t>
            </w:r>
          </w:p>
        </w:tc>
        <w:tc>
          <w:tcPr>
            <w:tcW w:w="3850" w:type="dxa"/>
            <w:shd w:val="clear" w:color="auto" w:fill="F8FBFD"/>
          </w:tcPr>
          <w:p w14:paraId="521EA433" w14:textId="77777777" w:rsidR="009475A0" w:rsidRPr="00AD6E5C" w:rsidRDefault="00000000">
            <w:pPr>
              <w:rPr>
                <w:rFonts w:ascii="Tajawal" w:hAnsi="Tajawal" w:cs="Tajawal" w:hint="cs"/>
              </w:rPr>
            </w:pPr>
            <w:r w:rsidRPr="00AD6E5C">
              <w:rPr>
                <w:rFonts w:ascii="Tajawal" w:hAnsi="Tajawal" w:cs="Tajawal" w:hint="cs"/>
              </w:rPr>
              <w:t>Converts TAM and capture assumptions into captured volume, transaction count, SNPL applications, approvals, and approved SNPL volume.</w:t>
            </w:r>
          </w:p>
        </w:tc>
        <w:tc>
          <w:tcPr>
            <w:tcW w:w="3610" w:type="dxa"/>
            <w:shd w:val="clear" w:color="auto" w:fill="F8FBFD"/>
          </w:tcPr>
          <w:p w14:paraId="7C8E20E6" w14:textId="77777777" w:rsidR="009475A0" w:rsidRPr="00AD6E5C" w:rsidRDefault="00000000">
            <w:pPr>
              <w:rPr>
                <w:rFonts w:ascii="Tajawal" w:hAnsi="Tajawal" w:cs="Tajawal" w:hint="cs"/>
              </w:rPr>
            </w:pPr>
            <w:r w:rsidRPr="00AD6E5C">
              <w:rPr>
                <w:rFonts w:ascii="Tajawal" w:hAnsi="Tajawal" w:cs="Tajawal" w:hint="cs"/>
              </w:rPr>
              <w:t>How does market share translate into operating activity?</w:t>
            </w:r>
          </w:p>
        </w:tc>
      </w:tr>
      <w:tr w:rsidR="009475A0" w:rsidRPr="00AD6E5C" w14:paraId="28091BC5" w14:textId="77777777">
        <w:tc>
          <w:tcPr>
            <w:tcW w:w="1900" w:type="dxa"/>
            <w:shd w:val="clear" w:color="auto" w:fill="FFFFFF"/>
          </w:tcPr>
          <w:p w14:paraId="206E9D78" w14:textId="77777777" w:rsidR="009475A0" w:rsidRPr="00AD6E5C" w:rsidRDefault="00000000">
            <w:pPr>
              <w:rPr>
                <w:rFonts w:ascii="Tajawal" w:hAnsi="Tajawal" w:cs="Tajawal" w:hint="cs"/>
              </w:rPr>
            </w:pPr>
            <w:r w:rsidRPr="00AD6E5C">
              <w:rPr>
                <w:rFonts w:ascii="Tajawal" w:hAnsi="Tajawal" w:cs="Tajawal" w:hint="cs"/>
              </w:rPr>
              <w:t>Revenue_Streams</w:t>
            </w:r>
          </w:p>
        </w:tc>
        <w:tc>
          <w:tcPr>
            <w:tcW w:w="3850" w:type="dxa"/>
            <w:shd w:val="clear" w:color="auto" w:fill="FFFFFF"/>
          </w:tcPr>
          <w:p w14:paraId="4E9BCED9" w14:textId="77777777" w:rsidR="009475A0" w:rsidRPr="00AD6E5C" w:rsidRDefault="00000000">
            <w:pPr>
              <w:rPr>
                <w:rFonts w:ascii="Tajawal" w:hAnsi="Tajawal" w:cs="Tajawal" w:hint="cs"/>
              </w:rPr>
            </w:pPr>
            <w:r w:rsidRPr="00AD6E5C">
              <w:rPr>
                <w:rFonts w:ascii="Tajawal" w:hAnsi="Tajawal" w:cs="Tajawal" w:hint="cs"/>
              </w:rPr>
              <w:t>Builds revenue from transfer fees, FX margin, SNPL service revenue, and late/recovery income.</w:t>
            </w:r>
          </w:p>
        </w:tc>
        <w:tc>
          <w:tcPr>
            <w:tcW w:w="3610" w:type="dxa"/>
            <w:shd w:val="clear" w:color="auto" w:fill="FFFFFF"/>
          </w:tcPr>
          <w:p w14:paraId="4A5B34E5" w14:textId="77777777" w:rsidR="009475A0" w:rsidRPr="00AD6E5C" w:rsidRDefault="00000000">
            <w:pPr>
              <w:rPr>
                <w:rFonts w:ascii="Tajawal" w:hAnsi="Tajawal" w:cs="Tajawal" w:hint="cs"/>
              </w:rPr>
            </w:pPr>
            <w:r w:rsidRPr="00AD6E5C">
              <w:rPr>
                <w:rFonts w:ascii="Tajawal" w:hAnsi="Tajawal" w:cs="Tajawal" w:hint="cs"/>
              </w:rPr>
              <w:t>What is the monetization logic per transaction and per corridor?</w:t>
            </w:r>
          </w:p>
        </w:tc>
      </w:tr>
      <w:tr w:rsidR="009475A0" w:rsidRPr="00AD6E5C" w14:paraId="0094DC77" w14:textId="77777777">
        <w:tc>
          <w:tcPr>
            <w:tcW w:w="1900" w:type="dxa"/>
            <w:shd w:val="clear" w:color="auto" w:fill="F8FBFD"/>
          </w:tcPr>
          <w:p w14:paraId="007B2199" w14:textId="77777777" w:rsidR="009475A0" w:rsidRPr="00AD6E5C" w:rsidRDefault="00000000">
            <w:pPr>
              <w:rPr>
                <w:rFonts w:ascii="Tajawal" w:hAnsi="Tajawal" w:cs="Tajawal" w:hint="cs"/>
              </w:rPr>
            </w:pPr>
            <w:r w:rsidRPr="00AD6E5C">
              <w:rPr>
                <w:rFonts w:ascii="Tajawal" w:hAnsi="Tajawal" w:cs="Tajawal" w:hint="cs"/>
              </w:rPr>
              <w:t>Cost_Analysis</w:t>
            </w:r>
          </w:p>
        </w:tc>
        <w:tc>
          <w:tcPr>
            <w:tcW w:w="3850" w:type="dxa"/>
            <w:shd w:val="clear" w:color="auto" w:fill="F8FBFD"/>
          </w:tcPr>
          <w:p w14:paraId="0EC49392" w14:textId="77777777" w:rsidR="009475A0" w:rsidRPr="00AD6E5C" w:rsidRDefault="00000000">
            <w:pPr>
              <w:rPr>
                <w:rFonts w:ascii="Tajawal" w:hAnsi="Tajawal" w:cs="Tajawal" w:hint="cs"/>
              </w:rPr>
            </w:pPr>
            <w:r w:rsidRPr="00AD6E5C">
              <w:rPr>
                <w:rFonts w:ascii="Tajawal" w:hAnsi="Tajawal" w:cs="Tajawal" w:hint="cs"/>
              </w:rPr>
              <w:t>Builds people, technology, compliance, marketing, partner acquisition, G&amp;A, variable cost, ECL, and CAPEX.</w:t>
            </w:r>
          </w:p>
        </w:tc>
        <w:tc>
          <w:tcPr>
            <w:tcW w:w="3610" w:type="dxa"/>
            <w:shd w:val="clear" w:color="auto" w:fill="F8FBFD"/>
          </w:tcPr>
          <w:p w14:paraId="265E093B" w14:textId="77777777" w:rsidR="009475A0" w:rsidRPr="00AD6E5C" w:rsidRDefault="00000000">
            <w:pPr>
              <w:rPr>
                <w:rFonts w:ascii="Tajawal" w:hAnsi="Tajawal" w:cs="Tajawal" w:hint="cs"/>
              </w:rPr>
            </w:pPr>
            <w:r w:rsidRPr="00AD6E5C">
              <w:rPr>
                <w:rFonts w:ascii="Tajawal" w:hAnsi="Tajawal" w:cs="Tajawal" w:hint="cs"/>
              </w:rPr>
              <w:t>How much funding is required before scale?</w:t>
            </w:r>
          </w:p>
        </w:tc>
      </w:tr>
      <w:tr w:rsidR="009475A0" w:rsidRPr="00AD6E5C" w14:paraId="1B0EF174" w14:textId="77777777">
        <w:tc>
          <w:tcPr>
            <w:tcW w:w="1900" w:type="dxa"/>
            <w:shd w:val="clear" w:color="auto" w:fill="FFFFFF"/>
          </w:tcPr>
          <w:p w14:paraId="69DA69A7" w14:textId="77777777" w:rsidR="009475A0" w:rsidRPr="00AD6E5C" w:rsidRDefault="00000000">
            <w:pPr>
              <w:rPr>
                <w:rFonts w:ascii="Tajawal" w:hAnsi="Tajawal" w:cs="Tajawal" w:hint="cs"/>
              </w:rPr>
            </w:pPr>
            <w:r w:rsidRPr="00AD6E5C">
              <w:rPr>
                <w:rFonts w:ascii="Tajawal" w:hAnsi="Tajawal" w:cs="Tajawal" w:hint="cs"/>
              </w:rPr>
              <w:t>Cost_Optimization</w:t>
            </w:r>
          </w:p>
        </w:tc>
        <w:tc>
          <w:tcPr>
            <w:tcW w:w="3850" w:type="dxa"/>
            <w:shd w:val="clear" w:color="auto" w:fill="FFFFFF"/>
          </w:tcPr>
          <w:p w14:paraId="7B141880" w14:textId="77777777" w:rsidR="009475A0" w:rsidRPr="00AD6E5C" w:rsidRDefault="00000000">
            <w:pPr>
              <w:rPr>
                <w:rFonts w:ascii="Tajawal" w:hAnsi="Tajawal" w:cs="Tajawal" w:hint="cs"/>
              </w:rPr>
            </w:pPr>
            <w:r w:rsidRPr="00AD6E5C">
              <w:rPr>
                <w:rFonts w:ascii="Tajawal" w:hAnsi="Tajawal" w:cs="Tajawal" w:hint="cs"/>
              </w:rPr>
              <w:t>Shows a lean-cost scenario without replacing the base case.</w:t>
            </w:r>
          </w:p>
        </w:tc>
        <w:tc>
          <w:tcPr>
            <w:tcW w:w="3610" w:type="dxa"/>
            <w:shd w:val="clear" w:color="auto" w:fill="FFFFFF"/>
          </w:tcPr>
          <w:p w14:paraId="4CFCD89E" w14:textId="77777777" w:rsidR="009475A0" w:rsidRPr="00AD6E5C" w:rsidRDefault="00000000">
            <w:pPr>
              <w:rPr>
                <w:rFonts w:ascii="Tajawal" w:hAnsi="Tajawal" w:cs="Tajawal" w:hint="cs"/>
              </w:rPr>
            </w:pPr>
            <w:r w:rsidRPr="00AD6E5C">
              <w:rPr>
                <w:rFonts w:ascii="Tajawal" w:hAnsi="Tajawal" w:cs="Tajawal" w:hint="cs"/>
              </w:rPr>
              <w:t>Can management reduce burn while protecting controls?</w:t>
            </w:r>
          </w:p>
        </w:tc>
      </w:tr>
      <w:tr w:rsidR="009475A0" w:rsidRPr="00AD6E5C" w14:paraId="3AC96E9B" w14:textId="77777777">
        <w:tc>
          <w:tcPr>
            <w:tcW w:w="1900" w:type="dxa"/>
            <w:shd w:val="clear" w:color="auto" w:fill="F8FBFD"/>
          </w:tcPr>
          <w:p w14:paraId="2751B0A1" w14:textId="77777777" w:rsidR="009475A0" w:rsidRPr="00AD6E5C" w:rsidRDefault="00000000">
            <w:pPr>
              <w:rPr>
                <w:rFonts w:ascii="Tajawal" w:hAnsi="Tajawal" w:cs="Tajawal" w:hint="cs"/>
              </w:rPr>
            </w:pPr>
            <w:r w:rsidRPr="00AD6E5C">
              <w:rPr>
                <w:rFonts w:ascii="Tajawal" w:hAnsi="Tajawal" w:cs="Tajawal" w:hint="cs"/>
              </w:rPr>
              <w:t>BEP_Analysis</w:t>
            </w:r>
          </w:p>
        </w:tc>
        <w:tc>
          <w:tcPr>
            <w:tcW w:w="3850" w:type="dxa"/>
            <w:shd w:val="clear" w:color="auto" w:fill="F8FBFD"/>
          </w:tcPr>
          <w:p w14:paraId="03F1E0E4" w14:textId="77777777" w:rsidR="009475A0" w:rsidRPr="00AD6E5C" w:rsidRDefault="00000000">
            <w:pPr>
              <w:rPr>
                <w:rFonts w:ascii="Tajawal" w:hAnsi="Tajawal" w:cs="Tajawal" w:hint="cs"/>
              </w:rPr>
            </w:pPr>
            <w:r w:rsidRPr="00AD6E5C">
              <w:rPr>
                <w:rFonts w:ascii="Tajawal" w:hAnsi="Tajawal" w:cs="Tajawal" w:hint="cs"/>
              </w:rPr>
              <w:t>Shows break-even revenue, break-even transactions, transaction gap, and cumulative FCF.</w:t>
            </w:r>
          </w:p>
        </w:tc>
        <w:tc>
          <w:tcPr>
            <w:tcW w:w="3610" w:type="dxa"/>
            <w:shd w:val="clear" w:color="auto" w:fill="F8FBFD"/>
          </w:tcPr>
          <w:p w14:paraId="714D3A7B" w14:textId="77777777" w:rsidR="009475A0" w:rsidRPr="00AD6E5C" w:rsidRDefault="00000000">
            <w:pPr>
              <w:rPr>
                <w:rFonts w:ascii="Tajawal" w:hAnsi="Tajawal" w:cs="Tajawal" w:hint="cs"/>
              </w:rPr>
            </w:pPr>
            <w:r w:rsidRPr="00AD6E5C">
              <w:rPr>
                <w:rFonts w:ascii="Tajawal" w:hAnsi="Tajawal" w:cs="Tajawal" w:hint="cs"/>
              </w:rPr>
              <w:t>When does the platform approach self-sustainability?</w:t>
            </w:r>
          </w:p>
        </w:tc>
      </w:tr>
      <w:tr w:rsidR="009475A0" w:rsidRPr="00AD6E5C" w14:paraId="3990E731" w14:textId="77777777">
        <w:tc>
          <w:tcPr>
            <w:tcW w:w="1900" w:type="dxa"/>
            <w:shd w:val="clear" w:color="auto" w:fill="FFFFFF"/>
          </w:tcPr>
          <w:p w14:paraId="5CA4F5C4" w14:textId="77777777" w:rsidR="009475A0" w:rsidRPr="00AD6E5C" w:rsidRDefault="00000000">
            <w:pPr>
              <w:rPr>
                <w:rFonts w:ascii="Tajawal" w:hAnsi="Tajawal" w:cs="Tajawal" w:hint="cs"/>
              </w:rPr>
            </w:pPr>
            <w:r w:rsidRPr="00AD6E5C">
              <w:rPr>
                <w:rFonts w:ascii="Tajawal" w:hAnsi="Tajawal" w:cs="Tajawal" w:hint="cs"/>
              </w:rPr>
              <w:lastRenderedPageBreak/>
              <w:t>Valuation</w:t>
            </w:r>
          </w:p>
        </w:tc>
        <w:tc>
          <w:tcPr>
            <w:tcW w:w="3850" w:type="dxa"/>
            <w:shd w:val="clear" w:color="auto" w:fill="FFFFFF"/>
          </w:tcPr>
          <w:p w14:paraId="3F7548A7" w14:textId="77777777" w:rsidR="009475A0" w:rsidRPr="00AD6E5C" w:rsidRDefault="00000000">
            <w:pPr>
              <w:rPr>
                <w:rFonts w:ascii="Tajawal" w:hAnsi="Tajawal" w:cs="Tajawal" w:hint="cs"/>
              </w:rPr>
            </w:pPr>
            <w:r w:rsidRPr="00AD6E5C">
              <w:rPr>
                <w:rFonts w:ascii="Tajawal" w:hAnsi="Tajawal" w:cs="Tajawal" w:hint="cs"/>
              </w:rPr>
              <w:t>Combines DCF and revenue multiple valuation methods.</w:t>
            </w:r>
          </w:p>
        </w:tc>
        <w:tc>
          <w:tcPr>
            <w:tcW w:w="3610" w:type="dxa"/>
            <w:shd w:val="clear" w:color="auto" w:fill="FFFFFF"/>
          </w:tcPr>
          <w:p w14:paraId="11711074" w14:textId="77777777" w:rsidR="009475A0" w:rsidRPr="00AD6E5C" w:rsidRDefault="00000000">
            <w:pPr>
              <w:rPr>
                <w:rFonts w:ascii="Tajawal" w:hAnsi="Tajawal" w:cs="Tajawal" w:hint="cs"/>
              </w:rPr>
            </w:pPr>
            <w:r w:rsidRPr="00AD6E5C">
              <w:rPr>
                <w:rFonts w:ascii="Tajawal" w:hAnsi="Tajawal" w:cs="Tajawal" w:hint="cs"/>
              </w:rPr>
              <w:t>What is the indicative equity value?</w:t>
            </w:r>
          </w:p>
        </w:tc>
      </w:tr>
    </w:tbl>
    <w:p w14:paraId="07020D5C" w14:textId="77777777" w:rsidR="009475A0" w:rsidRPr="00AD6E5C" w:rsidRDefault="00000000">
      <w:pPr>
        <w:pStyle w:val="Heading1"/>
        <w:rPr>
          <w:rFonts w:ascii="Tajawal" w:hAnsi="Tajawal" w:cs="Tajawal" w:hint="cs"/>
        </w:rPr>
      </w:pPr>
      <w:r w:rsidRPr="00AD6E5C">
        <w:rPr>
          <w:rFonts w:ascii="Tajawal" w:hAnsi="Tajawal" w:cs="Tajawal" w:hint="cs"/>
        </w:rPr>
        <w:t>4. How to Read the Model</w:t>
      </w:r>
    </w:p>
    <w:p w14:paraId="74C72BA1" w14:textId="77777777" w:rsidR="009475A0" w:rsidRPr="00AD6E5C" w:rsidRDefault="00000000" w:rsidP="00AD6E5C">
      <w:pPr>
        <w:numPr>
          <w:ilvl w:val="0"/>
          <w:numId w:val="1"/>
        </w:numPr>
        <w:jc w:val="both"/>
        <w:rPr>
          <w:rFonts w:ascii="Tajawal" w:hAnsi="Tajawal" w:cs="Tajawal" w:hint="cs"/>
        </w:rPr>
      </w:pPr>
      <w:r w:rsidRPr="00AD6E5C">
        <w:rPr>
          <w:rFonts w:ascii="Tajawal" w:hAnsi="Tajawal" w:cs="Tajawal" w:hint="cs"/>
        </w:rPr>
        <w:t>Start with the TAM. Confirm that the Egypt remittance market base and 2026-2031 growth path are reasonable.</w:t>
      </w:r>
    </w:p>
    <w:p w14:paraId="17E1BBF2" w14:textId="77777777" w:rsidR="009475A0" w:rsidRPr="00AD6E5C" w:rsidRDefault="00000000" w:rsidP="00AD6E5C">
      <w:pPr>
        <w:numPr>
          <w:ilvl w:val="0"/>
          <w:numId w:val="1"/>
        </w:numPr>
        <w:jc w:val="both"/>
        <w:rPr>
          <w:rFonts w:ascii="Tajawal" w:hAnsi="Tajawal" w:cs="Tajawal" w:hint="cs"/>
        </w:rPr>
      </w:pPr>
      <w:r w:rsidRPr="00AD6E5C">
        <w:rPr>
          <w:rFonts w:ascii="Tajawal" w:hAnsi="Tajawal" w:cs="Tajawal" w:hint="cs"/>
        </w:rPr>
        <w:t>Review corridor prioritization. Confirm whether source country shares, launch phasing, and confidence tiers support the commercial rollout logic.</w:t>
      </w:r>
    </w:p>
    <w:p w14:paraId="49F40183" w14:textId="77777777" w:rsidR="009475A0" w:rsidRPr="00AD6E5C" w:rsidRDefault="00000000" w:rsidP="00AD6E5C">
      <w:pPr>
        <w:numPr>
          <w:ilvl w:val="0"/>
          <w:numId w:val="1"/>
        </w:numPr>
        <w:jc w:val="both"/>
        <w:rPr>
          <w:rFonts w:ascii="Tajawal" w:hAnsi="Tajawal" w:cs="Tajawal" w:hint="cs"/>
        </w:rPr>
      </w:pPr>
      <w:r w:rsidRPr="00AD6E5C">
        <w:rPr>
          <w:rFonts w:ascii="Tajawal" w:hAnsi="Tajawal" w:cs="Tajawal" w:hint="cs"/>
        </w:rPr>
        <w:t>Trace transaction conversion. Check capture percentage, average ticket, SNPL penetration, and approval rates.</w:t>
      </w:r>
    </w:p>
    <w:p w14:paraId="30EAED2F" w14:textId="77777777" w:rsidR="009475A0" w:rsidRPr="00AD6E5C" w:rsidRDefault="00000000" w:rsidP="00AD6E5C">
      <w:pPr>
        <w:numPr>
          <w:ilvl w:val="0"/>
          <w:numId w:val="1"/>
        </w:numPr>
        <w:jc w:val="both"/>
        <w:rPr>
          <w:rFonts w:ascii="Tajawal" w:hAnsi="Tajawal" w:cs="Tajawal" w:hint="cs"/>
        </w:rPr>
      </w:pPr>
      <w:r w:rsidRPr="00AD6E5C">
        <w:rPr>
          <w:rFonts w:ascii="Tajawal" w:hAnsi="Tajawal" w:cs="Tajawal" w:hint="cs"/>
        </w:rPr>
        <w:t>Review revenue quality. Separate remittance revenue from SNPL revenue; do not treat all revenue as equally certain.</w:t>
      </w:r>
    </w:p>
    <w:p w14:paraId="3F9A01CF" w14:textId="77777777" w:rsidR="009475A0" w:rsidRPr="00AD6E5C" w:rsidRDefault="00000000" w:rsidP="00AD6E5C">
      <w:pPr>
        <w:numPr>
          <w:ilvl w:val="0"/>
          <w:numId w:val="1"/>
        </w:numPr>
        <w:jc w:val="both"/>
        <w:rPr>
          <w:rFonts w:ascii="Tajawal" w:hAnsi="Tajawal" w:cs="Tajawal" w:hint="cs"/>
        </w:rPr>
      </w:pPr>
      <w:r w:rsidRPr="00AD6E5C">
        <w:rPr>
          <w:rFonts w:ascii="Tajawal" w:hAnsi="Tajawal" w:cs="Tajawal" w:hint="cs"/>
        </w:rPr>
        <w:t>Review cost structure. Identify which costs are mandatory control costs and which are discretionary scale costs.</w:t>
      </w:r>
    </w:p>
    <w:p w14:paraId="124444F5" w14:textId="77777777" w:rsidR="009475A0" w:rsidRPr="00AD6E5C" w:rsidRDefault="00000000" w:rsidP="00AD6E5C">
      <w:pPr>
        <w:numPr>
          <w:ilvl w:val="0"/>
          <w:numId w:val="1"/>
        </w:numPr>
        <w:jc w:val="both"/>
        <w:rPr>
          <w:rFonts w:ascii="Tajawal" w:hAnsi="Tajawal" w:cs="Tajawal" w:hint="cs"/>
        </w:rPr>
      </w:pPr>
      <w:r w:rsidRPr="00AD6E5C">
        <w:rPr>
          <w:rFonts w:ascii="Tajawal" w:hAnsi="Tajawal" w:cs="Tajawal" w:hint="cs"/>
        </w:rPr>
        <w:t>Read BEP before valuation. The model is not yet profitable within the 5-year horizon, so break-even trajectory matters as much as headline valuation.</w:t>
      </w:r>
    </w:p>
    <w:p w14:paraId="60162DEA" w14:textId="77777777" w:rsidR="009475A0" w:rsidRPr="00AD6E5C" w:rsidRDefault="00000000" w:rsidP="00AD6E5C">
      <w:pPr>
        <w:numPr>
          <w:ilvl w:val="0"/>
          <w:numId w:val="1"/>
        </w:numPr>
        <w:jc w:val="both"/>
        <w:rPr>
          <w:rFonts w:ascii="Tajawal" w:hAnsi="Tajawal" w:cs="Tajawal" w:hint="cs"/>
        </w:rPr>
      </w:pPr>
      <w:r w:rsidRPr="00AD6E5C">
        <w:rPr>
          <w:rFonts w:ascii="Tajawal" w:hAnsi="Tajawal" w:cs="Tajawal" w:hint="cs"/>
        </w:rPr>
        <w:t>Interpret valuation as a range. The model is pre-go-live and should be read through downside, base, upside, and optimized-cost scenarios.</w:t>
      </w:r>
    </w:p>
    <w:p w14:paraId="4DEC4BB7" w14:textId="77777777" w:rsidR="009475A0" w:rsidRPr="00AD6E5C" w:rsidRDefault="00000000">
      <w:pPr>
        <w:pStyle w:val="Heading1"/>
        <w:rPr>
          <w:rFonts w:ascii="Tajawal" w:hAnsi="Tajawal" w:cs="Tajawal" w:hint="cs"/>
        </w:rPr>
      </w:pPr>
      <w:r w:rsidRPr="00AD6E5C">
        <w:rPr>
          <w:rFonts w:ascii="Tajawal" w:hAnsi="Tajawal" w:cs="Tajawal" w:hint="cs"/>
        </w:rPr>
        <w:t>5. Key Valuation Outputs</w:t>
      </w:r>
    </w:p>
    <w:tbl>
      <w:tblPr>
        <w:tblW w:w="9360" w:type="dxa"/>
        <w:tblInd w:w="120" w:type="dxa"/>
        <w:tblBorders>
          <w:top w:val="single" w:sz="4" w:space="0" w:color="B7C9D6"/>
          <w:left w:val="single" w:sz="4" w:space="0" w:color="B7C9D6"/>
          <w:bottom w:val="single" w:sz="4" w:space="0" w:color="B7C9D6"/>
          <w:right w:val="single" w:sz="4" w:space="0" w:color="B7C9D6"/>
          <w:insideH w:val="single" w:sz="4" w:space="0" w:color="B7C9D6"/>
          <w:insideV w:val="single" w:sz="4" w:space="0" w:color="B7C9D6"/>
        </w:tblBorders>
        <w:tblLayout w:type="fixed"/>
        <w:tblCellMar>
          <w:top w:w="90" w:type="dxa"/>
          <w:left w:w="120" w:type="dxa"/>
          <w:bottom w:w="90" w:type="dxa"/>
          <w:right w:w="120" w:type="dxa"/>
        </w:tblCellMar>
        <w:tblLook w:val="0000" w:firstRow="0" w:lastRow="0" w:firstColumn="0" w:lastColumn="0" w:noHBand="0" w:noVBand="0"/>
      </w:tblPr>
      <w:tblGrid>
        <w:gridCol w:w="2700"/>
        <w:gridCol w:w="2300"/>
        <w:gridCol w:w="4360"/>
      </w:tblGrid>
      <w:tr w:rsidR="009475A0" w:rsidRPr="00AD6E5C" w14:paraId="451C579A" w14:textId="77777777">
        <w:tc>
          <w:tcPr>
            <w:tcW w:w="2700" w:type="dxa"/>
            <w:shd w:val="clear" w:color="auto" w:fill="0F3557"/>
          </w:tcPr>
          <w:p w14:paraId="7D217FEC" w14:textId="77777777" w:rsidR="009475A0" w:rsidRPr="00AD6E5C" w:rsidRDefault="00000000">
            <w:pPr>
              <w:rPr>
                <w:rFonts w:ascii="Tajawal" w:hAnsi="Tajawal" w:cs="Tajawal" w:hint="cs"/>
              </w:rPr>
            </w:pPr>
            <w:r w:rsidRPr="00AD6E5C">
              <w:rPr>
                <w:rFonts w:ascii="Tajawal" w:hAnsi="Tajawal" w:cs="Tajawal" w:hint="cs"/>
                <w:b/>
                <w:color w:val="FFFFFF"/>
              </w:rPr>
              <w:t>Output</w:t>
            </w:r>
          </w:p>
        </w:tc>
        <w:tc>
          <w:tcPr>
            <w:tcW w:w="2300" w:type="dxa"/>
            <w:shd w:val="clear" w:color="auto" w:fill="0F3557"/>
          </w:tcPr>
          <w:p w14:paraId="093575C7" w14:textId="77777777" w:rsidR="009475A0" w:rsidRPr="00AD6E5C" w:rsidRDefault="00000000">
            <w:pPr>
              <w:rPr>
                <w:rFonts w:ascii="Tajawal" w:hAnsi="Tajawal" w:cs="Tajawal" w:hint="cs"/>
              </w:rPr>
            </w:pPr>
            <w:r w:rsidRPr="00AD6E5C">
              <w:rPr>
                <w:rFonts w:ascii="Tajawal" w:hAnsi="Tajawal" w:cs="Tajawal" w:hint="cs"/>
                <w:b/>
                <w:color w:val="FFFFFF"/>
              </w:rPr>
              <w:t>Current Model Reading</w:t>
            </w:r>
          </w:p>
        </w:tc>
        <w:tc>
          <w:tcPr>
            <w:tcW w:w="4360" w:type="dxa"/>
            <w:shd w:val="clear" w:color="auto" w:fill="0F3557"/>
          </w:tcPr>
          <w:p w14:paraId="62F3FC21" w14:textId="77777777" w:rsidR="009475A0" w:rsidRPr="00AD6E5C" w:rsidRDefault="00000000">
            <w:pPr>
              <w:rPr>
                <w:rFonts w:ascii="Tajawal" w:hAnsi="Tajawal" w:cs="Tajawal" w:hint="cs"/>
              </w:rPr>
            </w:pPr>
            <w:r w:rsidRPr="00AD6E5C">
              <w:rPr>
                <w:rFonts w:ascii="Tajawal" w:hAnsi="Tajawal" w:cs="Tajawal" w:hint="cs"/>
                <w:b/>
                <w:color w:val="FFFFFF"/>
              </w:rPr>
              <w:t>Interpretation</w:t>
            </w:r>
          </w:p>
        </w:tc>
      </w:tr>
      <w:tr w:rsidR="009475A0" w:rsidRPr="00AD6E5C" w14:paraId="246BC8AC" w14:textId="77777777">
        <w:tc>
          <w:tcPr>
            <w:tcW w:w="2700" w:type="dxa"/>
            <w:shd w:val="clear" w:color="auto" w:fill="FFFFFF"/>
          </w:tcPr>
          <w:p w14:paraId="6B599213" w14:textId="77777777" w:rsidR="009475A0" w:rsidRPr="00AD6E5C" w:rsidRDefault="00000000">
            <w:pPr>
              <w:rPr>
                <w:rFonts w:ascii="Tajawal" w:hAnsi="Tajawal" w:cs="Tajawal" w:hint="cs"/>
              </w:rPr>
            </w:pPr>
            <w:r w:rsidRPr="00AD6E5C">
              <w:rPr>
                <w:rFonts w:ascii="Tajawal" w:hAnsi="Tajawal" w:cs="Tajawal" w:hint="cs"/>
              </w:rPr>
              <w:t>Base indicative equity value</w:t>
            </w:r>
          </w:p>
        </w:tc>
        <w:tc>
          <w:tcPr>
            <w:tcW w:w="2300" w:type="dxa"/>
            <w:shd w:val="clear" w:color="auto" w:fill="FFFFFF"/>
          </w:tcPr>
          <w:p w14:paraId="6645C8A7" w14:textId="77777777" w:rsidR="009475A0" w:rsidRPr="00AD6E5C" w:rsidRDefault="00000000">
            <w:pPr>
              <w:rPr>
                <w:rFonts w:ascii="Tajawal" w:hAnsi="Tajawal" w:cs="Tajawal" w:hint="cs"/>
              </w:rPr>
            </w:pPr>
            <w:r w:rsidRPr="00AD6E5C">
              <w:rPr>
                <w:rFonts w:ascii="Tajawal" w:hAnsi="Tajawal" w:cs="Tajawal" w:hint="cs"/>
              </w:rPr>
              <w:t>USD 23.2M</w:t>
            </w:r>
          </w:p>
        </w:tc>
        <w:tc>
          <w:tcPr>
            <w:tcW w:w="4360" w:type="dxa"/>
            <w:shd w:val="clear" w:color="auto" w:fill="FFFFFF"/>
          </w:tcPr>
          <w:p w14:paraId="1E2FA223" w14:textId="77777777" w:rsidR="009475A0" w:rsidRPr="00AD6E5C" w:rsidRDefault="00000000">
            <w:pPr>
              <w:rPr>
                <w:rFonts w:ascii="Tajawal" w:hAnsi="Tajawal" w:cs="Tajawal" w:hint="cs"/>
              </w:rPr>
            </w:pPr>
            <w:r w:rsidRPr="00AD6E5C">
              <w:rPr>
                <w:rFonts w:ascii="Tajawal" w:hAnsi="Tajawal" w:cs="Tajawal" w:hint="cs"/>
              </w:rPr>
              <w:t>Main base-case blended valuation from DCF and revenue multiple methods.</w:t>
            </w:r>
          </w:p>
        </w:tc>
      </w:tr>
      <w:tr w:rsidR="009475A0" w:rsidRPr="00AD6E5C" w14:paraId="3A962F5C" w14:textId="77777777">
        <w:tc>
          <w:tcPr>
            <w:tcW w:w="2700" w:type="dxa"/>
            <w:shd w:val="clear" w:color="auto" w:fill="F8FBFD"/>
          </w:tcPr>
          <w:p w14:paraId="55FE2B8D" w14:textId="77777777" w:rsidR="009475A0" w:rsidRPr="00AD6E5C" w:rsidRDefault="00000000">
            <w:pPr>
              <w:rPr>
                <w:rFonts w:ascii="Tajawal" w:hAnsi="Tajawal" w:cs="Tajawal" w:hint="cs"/>
              </w:rPr>
            </w:pPr>
            <w:r w:rsidRPr="00AD6E5C">
              <w:rPr>
                <w:rFonts w:ascii="Tajawal" w:hAnsi="Tajawal" w:cs="Tajawal" w:hint="cs"/>
              </w:rPr>
              <w:t>DCF enterprise value</w:t>
            </w:r>
          </w:p>
        </w:tc>
        <w:tc>
          <w:tcPr>
            <w:tcW w:w="2300" w:type="dxa"/>
            <w:shd w:val="clear" w:color="auto" w:fill="F8FBFD"/>
          </w:tcPr>
          <w:p w14:paraId="12D99B7D" w14:textId="77777777" w:rsidR="009475A0" w:rsidRPr="00AD6E5C" w:rsidRDefault="00000000">
            <w:pPr>
              <w:rPr>
                <w:rFonts w:ascii="Tajawal" w:hAnsi="Tajawal" w:cs="Tajawal" w:hint="cs"/>
              </w:rPr>
            </w:pPr>
            <w:r w:rsidRPr="00AD6E5C">
              <w:rPr>
                <w:rFonts w:ascii="Tajawal" w:hAnsi="Tajawal" w:cs="Tajawal" w:hint="cs"/>
              </w:rPr>
              <w:t>Approximately negative USD 41.0M</w:t>
            </w:r>
          </w:p>
        </w:tc>
        <w:tc>
          <w:tcPr>
            <w:tcW w:w="4360" w:type="dxa"/>
            <w:shd w:val="clear" w:color="auto" w:fill="F8FBFD"/>
          </w:tcPr>
          <w:p w14:paraId="412EC707" w14:textId="77777777" w:rsidR="009475A0" w:rsidRPr="00AD6E5C" w:rsidRDefault="00000000">
            <w:pPr>
              <w:rPr>
                <w:rFonts w:ascii="Tajawal" w:hAnsi="Tajawal" w:cs="Tajawal" w:hint="cs"/>
              </w:rPr>
            </w:pPr>
            <w:r w:rsidRPr="00AD6E5C">
              <w:rPr>
                <w:rFonts w:ascii="Tajawal" w:hAnsi="Tajawal" w:cs="Tajawal" w:hint="cs"/>
              </w:rPr>
              <w:t>Negative because free cash flows remain negative during the forecast period.</w:t>
            </w:r>
          </w:p>
        </w:tc>
      </w:tr>
      <w:tr w:rsidR="009475A0" w:rsidRPr="00AD6E5C" w14:paraId="3D1A56BE" w14:textId="77777777">
        <w:tc>
          <w:tcPr>
            <w:tcW w:w="2700" w:type="dxa"/>
            <w:shd w:val="clear" w:color="auto" w:fill="FFFFFF"/>
          </w:tcPr>
          <w:p w14:paraId="2EA3B1C4" w14:textId="77777777" w:rsidR="009475A0" w:rsidRPr="00AD6E5C" w:rsidRDefault="00000000">
            <w:pPr>
              <w:rPr>
                <w:rFonts w:ascii="Tajawal" w:hAnsi="Tajawal" w:cs="Tajawal" w:hint="cs"/>
              </w:rPr>
            </w:pPr>
            <w:r w:rsidRPr="00AD6E5C">
              <w:rPr>
                <w:rFonts w:ascii="Tajawal" w:hAnsi="Tajawal" w:cs="Tajawal" w:hint="cs"/>
              </w:rPr>
              <w:t>Revenue multiple enterprise value</w:t>
            </w:r>
          </w:p>
        </w:tc>
        <w:tc>
          <w:tcPr>
            <w:tcW w:w="2300" w:type="dxa"/>
            <w:shd w:val="clear" w:color="auto" w:fill="FFFFFF"/>
          </w:tcPr>
          <w:p w14:paraId="58E781C5" w14:textId="77777777" w:rsidR="009475A0" w:rsidRPr="00AD6E5C" w:rsidRDefault="00000000">
            <w:pPr>
              <w:rPr>
                <w:rFonts w:ascii="Tajawal" w:hAnsi="Tajawal" w:cs="Tajawal" w:hint="cs"/>
              </w:rPr>
            </w:pPr>
            <w:r w:rsidRPr="00AD6E5C">
              <w:rPr>
                <w:rFonts w:ascii="Tajawal" w:hAnsi="Tajawal" w:cs="Tajawal" w:hint="cs"/>
              </w:rPr>
              <w:t>Approximately USD 87.5M</w:t>
            </w:r>
          </w:p>
        </w:tc>
        <w:tc>
          <w:tcPr>
            <w:tcW w:w="4360" w:type="dxa"/>
            <w:shd w:val="clear" w:color="auto" w:fill="FFFFFF"/>
          </w:tcPr>
          <w:p w14:paraId="446A4D0A" w14:textId="77777777" w:rsidR="009475A0" w:rsidRPr="00AD6E5C" w:rsidRDefault="00000000">
            <w:pPr>
              <w:rPr>
                <w:rFonts w:ascii="Tajawal" w:hAnsi="Tajawal" w:cs="Tajawal" w:hint="cs"/>
              </w:rPr>
            </w:pPr>
            <w:r w:rsidRPr="00AD6E5C">
              <w:rPr>
                <w:rFonts w:ascii="Tajawal" w:hAnsi="Tajawal" w:cs="Tajawal" w:hint="cs"/>
              </w:rPr>
              <w:t>Driven by 2031 revenue and a 3.0x EV/revenue benchmark assumption.</w:t>
            </w:r>
          </w:p>
        </w:tc>
      </w:tr>
      <w:tr w:rsidR="009475A0" w:rsidRPr="00AD6E5C" w14:paraId="77704683" w14:textId="77777777">
        <w:tc>
          <w:tcPr>
            <w:tcW w:w="2700" w:type="dxa"/>
            <w:shd w:val="clear" w:color="auto" w:fill="F8FBFD"/>
          </w:tcPr>
          <w:p w14:paraId="367E9642" w14:textId="77777777" w:rsidR="009475A0" w:rsidRPr="00AD6E5C" w:rsidRDefault="00000000">
            <w:pPr>
              <w:rPr>
                <w:rFonts w:ascii="Tajawal" w:hAnsi="Tajawal" w:cs="Tajawal" w:hint="cs"/>
              </w:rPr>
            </w:pPr>
            <w:r w:rsidRPr="00AD6E5C">
              <w:rPr>
                <w:rFonts w:ascii="Tajawal" w:hAnsi="Tajawal" w:cs="Tajawal" w:hint="cs"/>
              </w:rPr>
              <w:lastRenderedPageBreak/>
              <w:t>2031 revenue</w:t>
            </w:r>
          </w:p>
        </w:tc>
        <w:tc>
          <w:tcPr>
            <w:tcW w:w="2300" w:type="dxa"/>
            <w:shd w:val="clear" w:color="auto" w:fill="F8FBFD"/>
          </w:tcPr>
          <w:p w14:paraId="315736A6" w14:textId="77777777" w:rsidR="009475A0" w:rsidRPr="00AD6E5C" w:rsidRDefault="00000000">
            <w:pPr>
              <w:rPr>
                <w:rFonts w:ascii="Tajawal" w:hAnsi="Tajawal" w:cs="Tajawal" w:hint="cs"/>
              </w:rPr>
            </w:pPr>
            <w:r w:rsidRPr="00AD6E5C">
              <w:rPr>
                <w:rFonts w:ascii="Tajawal" w:hAnsi="Tajawal" w:cs="Tajawal" w:hint="cs"/>
              </w:rPr>
              <w:t>Approximately USD 29.2M</w:t>
            </w:r>
          </w:p>
        </w:tc>
        <w:tc>
          <w:tcPr>
            <w:tcW w:w="4360" w:type="dxa"/>
            <w:shd w:val="clear" w:color="auto" w:fill="F8FBFD"/>
          </w:tcPr>
          <w:p w14:paraId="79D83B85" w14:textId="77777777" w:rsidR="009475A0" w:rsidRPr="00AD6E5C" w:rsidRDefault="00000000">
            <w:pPr>
              <w:rPr>
                <w:rFonts w:ascii="Tajawal" w:hAnsi="Tajawal" w:cs="Tajawal" w:hint="cs"/>
              </w:rPr>
            </w:pPr>
            <w:r w:rsidRPr="00AD6E5C">
              <w:rPr>
                <w:rFonts w:ascii="Tajawal" w:hAnsi="Tajawal" w:cs="Tajawal" w:hint="cs"/>
              </w:rPr>
              <w:t>Commercial scale indicator used for revenue multiple valuation.</w:t>
            </w:r>
          </w:p>
        </w:tc>
      </w:tr>
      <w:tr w:rsidR="009475A0" w:rsidRPr="00AD6E5C" w14:paraId="3F354EE4" w14:textId="77777777">
        <w:tc>
          <w:tcPr>
            <w:tcW w:w="2700" w:type="dxa"/>
            <w:shd w:val="clear" w:color="auto" w:fill="FFFFFF"/>
          </w:tcPr>
          <w:p w14:paraId="294E10B1" w14:textId="77777777" w:rsidR="009475A0" w:rsidRPr="00AD6E5C" w:rsidRDefault="00000000">
            <w:pPr>
              <w:rPr>
                <w:rFonts w:ascii="Tajawal" w:hAnsi="Tajawal" w:cs="Tajawal" w:hint="cs"/>
              </w:rPr>
            </w:pPr>
            <w:r w:rsidRPr="00AD6E5C">
              <w:rPr>
                <w:rFonts w:ascii="Tajawal" w:hAnsi="Tajawal" w:cs="Tajawal" w:hint="cs"/>
              </w:rPr>
              <w:t>Optimized blended equity value</w:t>
            </w:r>
          </w:p>
        </w:tc>
        <w:tc>
          <w:tcPr>
            <w:tcW w:w="2300" w:type="dxa"/>
            <w:shd w:val="clear" w:color="auto" w:fill="FFFFFF"/>
          </w:tcPr>
          <w:p w14:paraId="32E32EF1" w14:textId="77777777" w:rsidR="009475A0" w:rsidRPr="00AD6E5C" w:rsidRDefault="00000000">
            <w:pPr>
              <w:rPr>
                <w:rFonts w:ascii="Tajawal" w:hAnsi="Tajawal" w:cs="Tajawal" w:hint="cs"/>
              </w:rPr>
            </w:pPr>
            <w:r w:rsidRPr="00AD6E5C">
              <w:rPr>
                <w:rFonts w:ascii="Tajawal" w:hAnsi="Tajawal" w:cs="Tajawal" w:hint="cs"/>
              </w:rPr>
              <w:t>Approximately USD 32.0M</w:t>
            </w:r>
          </w:p>
        </w:tc>
        <w:tc>
          <w:tcPr>
            <w:tcW w:w="4360" w:type="dxa"/>
            <w:shd w:val="clear" w:color="auto" w:fill="FFFFFF"/>
          </w:tcPr>
          <w:p w14:paraId="508CA8D2" w14:textId="77777777" w:rsidR="009475A0" w:rsidRPr="00AD6E5C" w:rsidRDefault="00000000">
            <w:pPr>
              <w:rPr>
                <w:rFonts w:ascii="Tajawal" w:hAnsi="Tajawal" w:cs="Tajawal" w:hint="cs"/>
              </w:rPr>
            </w:pPr>
            <w:r w:rsidRPr="00AD6E5C">
              <w:rPr>
                <w:rFonts w:ascii="Tajawal" w:hAnsi="Tajawal" w:cs="Tajawal" w:hint="cs"/>
              </w:rPr>
              <w:t>Lean-cost case value if management reduces burn without weakening controls.</w:t>
            </w:r>
          </w:p>
        </w:tc>
      </w:tr>
      <w:tr w:rsidR="009475A0" w:rsidRPr="00AD6E5C" w14:paraId="3C8AD929" w14:textId="77777777">
        <w:tc>
          <w:tcPr>
            <w:tcW w:w="2700" w:type="dxa"/>
            <w:shd w:val="clear" w:color="auto" w:fill="F8FBFD"/>
          </w:tcPr>
          <w:p w14:paraId="7B20490E" w14:textId="77777777" w:rsidR="009475A0" w:rsidRPr="00AD6E5C" w:rsidRDefault="00000000">
            <w:pPr>
              <w:rPr>
                <w:rFonts w:ascii="Tajawal" w:hAnsi="Tajawal" w:cs="Tajawal" w:hint="cs"/>
              </w:rPr>
            </w:pPr>
            <w:r w:rsidRPr="00AD6E5C">
              <w:rPr>
                <w:rFonts w:ascii="Tajawal" w:hAnsi="Tajawal" w:cs="Tajawal" w:hint="cs"/>
              </w:rPr>
              <w:t>Cost optimization uplift</w:t>
            </w:r>
          </w:p>
        </w:tc>
        <w:tc>
          <w:tcPr>
            <w:tcW w:w="2300" w:type="dxa"/>
            <w:shd w:val="clear" w:color="auto" w:fill="F8FBFD"/>
          </w:tcPr>
          <w:p w14:paraId="209FA230" w14:textId="77777777" w:rsidR="009475A0" w:rsidRPr="00AD6E5C" w:rsidRDefault="00000000">
            <w:pPr>
              <w:rPr>
                <w:rFonts w:ascii="Tajawal" w:hAnsi="Tajawal" w:cs="Tajawal" w:hint="cs"/>
              </w:rPr>
            </w:pPr>
            <w:r w:rsidRPr="00AD6E5C">
              <w:rPr>
                <w:rFonts w:ascii="Tajawal" w:hAnsi="Tajawal" w:cs="Tajawal" w:hint="cs"/>
              </w:rPr>
              <w:t>Approximately USD 8.7M</w:t>
            </w:r>
          </w:p>
        </w:tc>
        <w:tc>
          <w:tcPr>
            <w:tcW w:w="4360" w:type="dxa"/>
            <w:shd w:val="clear" w:color="auto" w:fill="F8FBFD"/>
          </w:tcPr>
          <w:p w14:paraId="271DC7E8" w14:textId="77777777" w:rsidR="009475A0" w:rsidRPr="00AD6E5C" w:rsidRDefault="00000000">
            <w:pPr>
              <w:rPr>
                <w:rFonts w:ascii="Tajawal" w:hAnsi="Tajawal" w:cs="Tajawal" w:hint="cs"/>
              </w:rPr>
            </w:pPr>
            <w:r w:rsidRPr="00AD6E5C">
              <w:rPr>
                <w:rFonts w:ascii="Tajawal" w:hAnsi="Tajawal" w:cs="Tajawal" w:hint="cs"/>
              </w:rPr>
              <w:t>Estimated valuation improvement from cost discipline only, not revenue upside.</w:t>
            </w:r>
          </w:p>
        </w:tc>
      </w:tr>
    </w:tbl>
    <w:tbl>
      <w:tblPr>
        <w:tblW w:w="9360" w:type="dxa"/>
        <w:tblBorders>
          <w:top w:val="nil"/>
          <w:left w:val="single" w:sz="24" w:space="0" w:color="7A5A00"/>
          <w:bottom w:val="nil"/>
          <w:right w:val="nil"/>
          <w:insideH w:val="nil"/>
          <w:insideV w:val="nil"/>
        </w:tblBorders>
        <w:tblCellMar>
          <w:top w:w="140" w:type="dxa"/>
          <w:left w:w="180" w:type="dxa"/>
          <w:bottom w:w="140" w:type="dxa"/>
          <w:right w:w="180" w:type="dxa"/>
        </w:tblCellMar>
        <w:tblLook w:val="0000" w:firstRow="0" w:lastRow="0" w:firstColumn="0" w:lastColumn="0" w:noHBand="0" w:noVBand="0"/>
      </w:tblPr>
      <w:tblGrid>
        <w:gridCol w:w="9360"/>
      </w:tblGrid>
      <w:tr w:rsidR="009475A0" w:rsidRPr="00AD6E5C" w14:paraId="358C5E81" w14:textId="77777777">
        <w:tc>
          <w:tcPr>
            <w:tcW w:w="9360" w:type="dxa"/>
            <w:shd w:val="clear" w:color="auto" w:fill="FFF3CD"/>
          </w:tcPr>
          <w:p w14:paraId="35B9D77B" w14:textId="77777777" w:rsidR="009475A0" w:rsidRPr="00AD6E5C" w:rsidRDefault="00000000" w:rsidP="00AD6E5C">
            <w:pPr>
              <w:jc w:val="both"/>
              <w:rPr>
                <w:rFonts w:ascii="Tajawal" w:hAnsi="Tajawal" w:cs="Tajawal" w:hint="cs"/>
              </w:rPr>
            </w:pPr>
            <w:r w:rsidRPr="00AD6E5C">
              <w:rPr>
                <w:rFonts w:ascii="Tajawal" w:hAnsi="Tajawal" w:cs="Tajawal" w:hint="cs"/>
              </w:rPr>
              <w:t>Important investor interpretation. The USD 23.2M base valuation is not justified by positive net profit. It is justified by strategic platform potential and revenue-scale optionality. A conservative investor may discount it until live transaction, repayment, and cost data are available.</w:t>
            </w:r>
          </w:p>
        </w:tc>
      </w:tr>
    </w:tbl>
    <w:p w14:paraId="65124604" w14:textId="77777777" w:rsidR="009475A0" w:rsidRPr="00AD6E5C" w:rsidRDefault="00000000">
      <w:pPr>
        <w:pStyle w:val="Heading1"/>
        <w:rPr>
          <w:rFonts w:ascii="Tajawal" w:hAnsi="Tajawal" w:cs="Tajawal" w:hint="cs"/>
        </w:rPr>
      </w:pPr>
      <w:r w:rsidRPr="00AD6E5C">
        <w:rPr>
          <w:rFonts w:ascii="Tajawal" w:hAnsi="Tajawal" w:cs="Tajawal" w:hint="cs"/>
        </w:rPr>
        <w:t>6. Why Valuation Can Be Positive Despite Negative Cash Flow</w:t>
      </w:r>
    </w:p>
    <w:p w14:paraId="0914E86A" w14:textId="77777777" w:rsidR="009475A0" w:rsidRPr="00AD6E5C" w:rsidRDefault="00000000" w:rsidP="00AD6E5C">
      <w:pPr>
        <w:jc w:val="both"/>
        <w:rPr>
          <w:rFonts w:ascii="Tajawal" w:hAnsi="Tajawal" w:cs="Tajawal" w:hint="cs"/>
        </w:rPr>
      </w:pPr>
      <w:r w:rsidRPr="00AD6E5C">
        <w:rPr>
          <w:rFonts w:ascii="Tajawal" w:hAnsi="Tajawal" w:cs="Tajawal" w:hint="cs"/>
        </w:rPr>
        <w:t>The DCF view is negative because the business remains in investment mode. This is a meaningful warning and should not be hidden. However, the revenue multiple method recognizes that pre-profit fintech and remittance platforms may still hold value if they can demonstrate addressable market, revenue scale, partner network, compliance readiness, and future operating leverage.</w:t>
      </w:r>
    </w:p>
    <w:p w14:paraId="0224DFA3" w14:textId="77777777" w:rsidR="009475A0" w:rsidRPr="00AD6E5C" w:rsidRDefault="00000000">
      <w:pPr>
        <w:rPr>
          <w:rFonts w:ascii="Tajawal" w:hAnsi="Tajawal" w:cs="Tajawal" w:hint="cs"/>
        </w:rPr>
      </w:pPr>
      <w:r w:rsidRPr="00AD6E5C">
        <w:rPr>
          <w:rFonts w:ascii="Tajawal" w:hAnsi="Tajawal" w:cs="Tajawal" w:hint="cs"/>
        </w:rPr>
        <w:t>The model triangulates value through two lenses:</w:t>
      </w:r>
    </w:p>
    <w:p w14:paraId="23B40E05" w14:textId="77777777" w:rsidR="00AD6E5C" w:rsidRDefault="00000000" w:rsidP="00AD6E5C">
      <w:pPr>
        <w:pStyle w:val="ListParagraph"/>
        <w:numPr>
          <w:ilvl w:val="0"/>
          <w:numId w:val="2"/>
        </w:numPr>
        <w:rPr>
          <w:rFonts w:ascii="Tajawal" w:hAnsi="Tajawal" w:cs="Tajawal"/>
        </w:rPr>
      </w:pPr>
      <w:r w:rsidRPr="00AD6E5C">
        <w:rPr>
          <w:rFonts w:ascii="Tajawal" w:hAnsi="Tajawal" w:cs="Tajawal" w:hint="cs"/>
        </w:rPr>
        <w:t>DCF lens: penalizes current and forecast cash burn.</w:t>
      </w:r>
    </w:p>
    <w:p w14:paraId="41BAFD55" w14:textId="25DCD3BF" w:rsidR="009475A0" w:rsidRPr="00AD6E5C" w:rsidRDefault="00000000" w:rsidP="00AD6E5C">
      <w:pPr>
        <w:pStyle w:val="ListParagraph"/>
        <w:numPr>
          <w:ilvl w:val="0"/>
          <w:numId w:val="2"/>
        </w:numPr>
        <w:rPr>
          <w:rFonts w:ascii="Tajawal" w:hAnsi="Tajawal" w:cs="Tajawal" w:hint="cs"/>
        </w:rPr>
      </w:pPr>
      <w:r w:rsidRPr="00AD6E5C">
        <w:rPr>
          <w:rFonts w:ascii="Tajawal" w:hAnsi="Tajawal" w:cs="Tajawal" w:hint="cs"/>
        </w:rPr>
        <w:t>Revenue multiple lens: captures platform revenue scale and comparable fintech/remittance valuation logic.</w:t>
      </w:r>
    </w:p>
    <w:p w14:paraId="3D956CFD" w14:textId="77777777" w:rsidR="009475A0" w:rsidRPr="00AD6E5C" w:rsidRDefault="00000000" w:rsidP="00AD6E5C">
      <w:pPr>
        <w:jc w:val="both"/>
        <w:rPr>
          <w:rFonts w:ascii="Tajawal" w:hAnsi="Tajawal" w:cs="Tajawal" w:hint="cs"/>
        </w:rPr>
      </w:pPr>
      <w:r w:rsidRPr="00AD6E5C">
        <w:rPr>
          <w:rFonts w:ascii="Tajawal" w:hAnsi="Tajawal" w:cs="Tajawal" w:hint="cs"/>
        </w:rPr>
        <w:t>The blended value is a compromise between those two views. It should be presented as an indicative pre-go-live value, not a definitive fair market value.</w:t>
      </w:r>
    </w:p>
    <w:p w14:paraId="2882E7D9" w14:textId="77777777" w:rsidR="009475A0" w:rsidRPr="00AD6E5C" w:rsidRDefault="00000000">
      <w:pPr>
        <w:pStyle w:val="Heading1"/>
        <w:rPr>
          <w:rFonts w:ascii="Tajawal" w:hAnsi="Tajawal" w:cs="Tajawal" w:hint="cs"/>
        </w:rPr>
      </w:pPr>
      <w:r w:rsidRPr="00AD6E5C">
        <w:rPr>
          <w:rFonts w:ascii="Tajawal" w:hAnsi="Tajawal" w:cs="Tajawal" w:hint="cs"/>
        </w:rPr>
        <w:t>7. Evidence Base and Trust Points</w:t>
      </w:r>
    </w:p>
    <w:tbl>
      <w:tblPr>
        <w:tblW w:w="9360" w:type="dxa"/>
        <w:tblInd w:w="120" w:type="dxa"/>
        <w:tblBorders>
          <w:top w:val="single" w:sz="4" w:space="0" w:color="B7C9D6"/>
          <w:left w:val="single" w:sz="4" w:space="0" w:color="B7C9D6"/>
          <w:bottom w:val="single" w:sz="4" w:space="0" w:color="B7C9D6"/>
          <w:right w:val="single" w:sz="4" w:space="0" w:color="B7C9D6"/>
          <w:insideH w:val="single" w:sz="4" w:space="0" w:color="B7C9D6"/>
          <w:insideV w:val="single" w:sz="4" w:space="0" w:color="B7C9D6"/>
        </w:tblBorders>
        <w:tblLayout w:type="fixed"/>
        <w:tblCellMar>
          <w:top w:w="90" w:type="dxa"/>
          <w:left w:w="120" w:type="dxa"/>
          <w:bottom w:w="90" w:type="dxa"/>
          <w:right w:w="120" w:type="dxa"/>
        </w:tblCellMar>
        <w:tblLook w:val="0000" w:firstRow="0" w:lastRow="0" w:firstColumn="0" w:lastColumn="0" w:noHBand="0" w:noVBand="0"/>
      </w:tblPr>
      <w:tblGrid>
        <w:gridCol w:w="1700"/>
        <w:gridCol w:w="2450"/>
        <w:gridCol w:w="2650"/>
        <w:gridCol w:w="2560"/>
      </w:tblGrid>
      <w:tr w:rsidR="009475A0" w:rsidRPr="00AD6E5C" w14:paraId="6F86719A" w14:textId="77777777">
        <w:tc>
          <w:tcPr>
            <w:tcW w:w="1700" w:type="dxa"/>
            <w:shd w:val="clear" w:color="auto" w:fill="0F3557"/>
          </w:tcPr>
          <w:p w14:paraId="410543AD" w14:textId="77777777" w:rsidR="009475A0" w:rsidRPr="00AD6E5C" w:rsidRDefault="00000000">
            <w:pPr>
              <w:rPr>
                <w:rFonts w:ascii="Tajawal" w:hAnsi="Tajawal" w:cs="Tajawal" w:hint="cs"/>
              </w:rPr>
            </w:pPr>
            <w:r w:rsidRPr="00AD6E5C">
              <w:rPr>
                <w:rFonts w:ascii="Tajawal" w:hAnsi="Tajawal" w:cs="Tajawal" w:hint="cs"/>
                <w:b/>
                <w:color w:val="FFFFFF"/>
              </w:rPr>
              <w:t>Evidence Area</w:t>
            </w:r>
          </w:p>
        </w:tc>
        <w:tc>
          <w:tcPr>
            <w:tcW w:w="2450" w:type="dxa"/>
            <w:shd w:val="clear" w:color="auto" w:fill="0F3557"/>
          </w:tcPr>
          <w:p w14:paraId="02022782" w14:textId="77777777" w:rsidR="009475A0" w:rsidRPr="00AD6E5C" w:rsidRDefault="00000000">
            <w:pPr>
              <w:rPr>
                <w:rFonts w:ascii="Tajawal" w:hAnsi="Tajawal" w:cs="Tajawal" w:hint="cs"/>
              </w:rPr>
            </w:pPr>
            <w:r w:rsidRPr="00AD6E5C">
              <w:rPr>
                <w:rFonts w:ascii="Tajawal" w:hAnsi="Tajawal" w:cs="Tajawal" w:hint="cs"/>
                <w:b/>
                <w:color w:val="FFFFFF"/>
              </w:rPr>
              <w:t>Source / Basis</w:t>
            </w:r>
          </w:p>
        </w:tc>
        <w:tc>
          <w:tcPr>
            <w:tcW w:w="2650" w:type="dxa"/>
            <w:shd w:val="clear" w:color="auto" w:fill="0F3557"/>
          </w:tcPr>
          <w:p w14:paraId="27B249AB" w14:textId="77777777" w:rsidR="009475A0" w:rsidRPr="00AD6E5C" w:rsidRDefault="00000000">
            <w:pPr>
              <w:rPr>
                <w:rFonts w:ascii="Tajawal" w:hAnsi="Tajawal" w:cs="Tajawal" w:hint="cs"/>
              </w:rPr>
            </w:pPr>
            <w:r w:rsidRPr="00AD6E5C">
              <w:rPr>
                <w:rFonts w:ascii="Tajawal" w:hAnsi="Tajawal" w:cs="Tajawal" w:hint="cs"/>
                <w:b/>
                <w:color w:val="FFFFFF"/>
              </w:rPr>
              <w:t>Trust Point</w:t>
            </w:r>
          </w:p>
        </w:tc>
        <w:tc>
          <w:tcPr>
            <w:tcW w:w="2560" w:type="dxa"/>
            <w:shd w:val="clear" w:color="auto" w:fill="0F3557"/>
          </w:tcPr>
          <w:p w14:paraId="7DC0FBBD" w14:textId="77777777" w:rsidR="009475A0" w:rsidRPr="00AD6E5C" w:rsidRDefault="00000000">
            <w:pPr>
              <w:rPr>
                <w:rFonts w:ascii="Tajawal" w:hAnsi="Tajawal" w:cs="Tajawal" w:hint="cs"/>
              </w:rPr>
            </w:pPr>
            <w:r w:rsidRPr="00AD6E5C">
              <w:rPr>
                <w:rFonts w:ascii="Tajawal" w:hAnsi="Tajawal" w:cs="Tajawal" w:hint="cs"/>
                <w:b/>
                <w:color w:val="FFFFFF"/>
              </w:rPr>
              <w:t>Limitation</w:t>
            </w:r>
          </w:p>
        </w:tc>
      </w:tr>
      <w:tr w:rsidR="009475A0" w:rsidRPr="00AD6E5C" w14:paraId="6A14141B" w14:textId="77777777">
        <w:tc>
          <w:tcPr>
            <w:tcW w:w="1700" w:type="dxa"/>
            <w:shd w:val="clear" w:color="auto" w:fill="FFFFFF"/>
          </w:tcPr>
          <w:p w14:paraId="13C10906" w14:textId="77777777" w:rsidR="009475A0" w:rsidRPr="00AD6E5C" w:rsidRDefault="00000000">
            <w:pPr>
              <w:rPr>
                <w:rFonts w:ascii="Tajawal" w:hAnsi="Tajawal" w:cs="Tajawal" w:hint="cs"/>
              </w:rPr>
            </w:pPr>
            <w:r w:rsidRPr="00AD6E5C">
              <w:rPr>
                <w:rFonts w:ascii="Tajawal" w:hAnsi="Tajawal" w:cs="Tajawal" w:hint="cs"/>
              </w:rPr>
              <w:t>Egypt TAM</w:t>
            </w:r>
          </w:p>
        </w:tc>
        <w:tc>
          <w:tcPr>
            <w:tcW w:w="2450" w:type="dxa"/>
            <w:shd w:val="clear" w:color="auto" w:fill="FFFFFF"/>
          </w:tcPr>
          <w:p w14:paraId="6F83EA31" w14:textId="77777777" w:rsidR="009475A0" w:rsidRPr="00AD6E5C" w:rsidRDefault="00000000">
            <w:pPr>
              <w:rPr>
                <w:rFonts w:ascii="Tajawal" w:hAnsi="Tajawal" w:cs="Tajawal" w:hint="cs"/>
              </w:rPr>
            </w:pPr>
            <w:r w:rsidRPr="00AD6E5C">
              <w:rPr>
                <w:rFonts w:ascii="Tajawal" w:hAnsi="Tajawal" w:cs="Tajawal" w:hint="cs"/>
              </w:rPr>
              <w:t>Central Bank of Egypt 2025 remittance release</w:t>
            </w:r>
          </w:p>
        </w:tc>
        <w:tc>
          <w:tcPr>
            <w:tcW w:w="2650" w:type="dxa"/>
            <w:shd w:val="clear" w:color="auto" w:fill="FFFFFF"/>
          </w:tcPr>
          <w:p w14:paraId="32BC50CA" w14:textId="77777777" w:rsidR="009475A0" w:rsidRPr="00AD6E5C" w:rsidRDefault="00000000">
            <w:pPr>
              <w:rPr>
                <w:rFonts w:ascii="Tajawal" w:hAnsi="Tajawal" w:cs="Tajawal" w:hint="cs"/>
              </w:rPr>
            </w:pPr>
            <w:r w:rsidRPr="00AD6E5C">
              <w:rPr>
                <w:rFonts w:ascii="Tajawal" w:hAnsi="Tajawal" w:cs="Tajawal" w:hint="cs"/>
              </w:rPr>
              <w:t>Official anchor for 2025 market size, set at USD 41.5B.</w:t>
            </w:r>
          </w:p>
        </w:tc>
        <w:tc>
          <w:tcPr>
            <w:tcW w:w="2560" w:type="dxa"/>
            <w:shd w:val="clear" w:color="auto" w:fill="FFFFFF"/>
          </w:tcPr>
          <w:p w14:paraId="7D7419F0" w14:textId="77777777" w:rsidR="009475A0" w:rsidRPr="00AD6E5C" w:rsidRDefault="00000000">
            <w:pPr>
              <w:rPr>
                <w:rFonts w:ascii="Tajawal" w:hAnsi="Tajawal" w:cs="Tajawal" w:hint="cs"/>
              </w:rPr>
            </w:pPr>
            <w:r w:rsidRPr="00AD6E5C">
              <w:rPr>
                <w:rFonts w:ascii="Tajawal" w:hAnsi="Tajawal" w:cs="Tajawal" w:hint="cs"/>
              </w:rPr>
              <w:t>Country total, not full bilateral corridor disclosure.</w:t>
            </w:r>
          </w:p>
        </w:tc>
      </w:tr>
      <w:tr w:rsidR="009475A0" w:rsidRPr="00AD6E5C" w14:paraId="3C24A8D1" w14:textId="77777777">
        <w:tc>
          <w:tcPr>
            <w:tcW w:w="1700" w:type="dxa"/>
            <w:shd w:val="clear" w:color="auto" w:fill="F8FBFD"/>
          </w:tcPr>
          <w:p w14:paraId="1F543CAF" w14:textId="77777777" w:rsidR="009475A0" w:rsidRPr="00AD6E5C" w:rsidRDefault="00000000">
            <w:pPr>
              <w:rPr>
                <w:rFonts w:ascii="Tajawal" w:hAnsi="Tajawal" w:cs="Tajawal" w:hint="cs"/>
              </w:rPr>
            </w:pPr>
            <w:r w:rsidRPr="00AD6E5C">
              <w:rPr>
                <w:rFonts w:ascii="Tajawal" w:hAnsi="Tajawal" w:cs="Tajawal" w:hint="cs"/>
              </w:rPr>
              <w:t>Historical TAM</w:t>
            </w:r>
          </w:p>
        </w:tc>
        <w:tc>
          <w:tcPr>
            <w:tcW w:w="2450" w:type="dxa"/>
            <w:shd w:val="clear" w:color="auto" w:fill="F8FBFD"/>
          </w:tcPr>
          <w:p w14:paraId="7DA8B620" w14:textId="77777777" w:rsidR="009475A0" w:rsidRPr="00AD6E5C" w:rsidRDefault="00000000">
            <w:pPr>
              <w:rPr>
                <w:rFonts w:ascii="Tajawal" w:hAnsi="Tajawal" w:cs="Tajawal" w:hint="cs"/>
              </w:rPr>
            </w:pPr>
            <w:r w:rsidRPr="00AD6E5C">
              <w:rPr>
                <w:rFonts w:ascii="Tajawal" w:hAnsi="Tajawal" w:cs="Tajawal" w:hint="cs"/>
              </w:rPr>
              <w:t>World Bank remittance indicator</w:t>
            </w:r>
          </w:p>
        </w:tc>
        <w:tc>
          <w:tcPr>
            <w:tcW w:w="2650" w:type="dxa"/>
            <w:shd w:val="clear" w:color="auto" w:fill="F8FBFD"/>
          </w:tcPr>
          <w:p w14:paraId="4C5FDE70" w14:textId="77777777" w:rsidR="009475A0" w:rsidRPr="00AD6E5C" w:rsidRDefault="00000000">
            <w:pPr>
              <w:rPr>
                <w:rFonts w:ascii="Tajawal" w:hAnsi="Tajawal" w:cs="Tajawal" w:hint="cs"/>
              </w:rPr>
            </w:pPr>
            <w:r w:rsidRPr="00AD6E5C">
              <w:rPr>
                <w:rFonts w:ascii="Tajawal" w:hAnsi="Tajawal" w:cs="Tajawal" w:hint="cs"/>
              </w:rPr>
              <w:t>Provides long historical context.</w:t>
            </w:r>
          </w:p>
        </w:tc>
        <w:tc>
          <w:tcPr>
            <w:tcW w:w="2560" w:type="dxa"/>
            <w:shd w:val="clear" w:color="auto" w:fill="F8FBFD"/>
          </w:tcPr>
          <w:p w14:paraId="14E54F6C" w14:textId="77777777" w:rsidR="009475A0" w:rsidRPr="00AD6E5C" w:rsidRDefault="00000000">
            <w:pPr>
              <w:rPr>
                <w:rFonts w:ascii="Tajawal" w:hAnsi="Tajawal" w:cs="Tajawal" w:hint="cs"/>
              </w:rPr>
            </w:pPr>
            <w:r w:rsidRPr="00AD6E5C">
              <w:rPr>
                <w:rFonts w:ascii="Tajawal" w:hAnsi="Tajawal" w:cs="Tajawal" w:hint="cs"/>
              </w:rPr>
              <w:t>May lag CBE updates or revisions.</w:t>
            </w:r>
          </w:p>
        </w:tc>
      </w:tr>
      <w:tr w:rsidR="009475A0" w:rsidRPr="00AD6E5C" w14:paraId="7EBCDBA3" w14:textId="77777777">
        <w:tc>
          <w:tcPr>
            <w:tcW w:w="1700" w:type="dxa"/>
            <w:shd w:val="clear" w:color="auto" w:fill="FFFFFF"/>
          </w:tcPr>
          <w:p w14:paraId="656D37CF" w14:textId="77777777" w:rsidR="009475A0" w:rsidRPr="00AD6E5C" w:rsidRDefault="00000000">
            <w:pPr>
              <w:rPr>
                <w:rFonts w:ascii="Tajawal" w:hAnsi="Tajawal" w:cs="Tajawal" w:hint="cs"/>
              </w:rPr>
            </w:pPr>
            <w:r w:rsidRPr="00AD6E5C">
              <w:rPr>
                <w:rFonts w:ascii="Tajawal" w:hAnsi="Tajawal" w:cs="Tajawal" w:hint="cs"/>
              </w:rPr>
              <w:lastRenderedPageBreak/>
              <w:t>Country allocation</w:t>
            </w:r>
          </w:p>
        </w:tc>
        <w:tc>
          <w:tcPr>
            <w:tcW w:w="2450" w:type="dxa"/>
            <w:shd w:val="clear" w:color="auto" w:fill="FFFFFF"/>
          </w:tcPr>
          <w:p w14:paraId="2A02F0E5" w14:textId="77777777" w:rsidR="009475A0" w:rsidRPr="00AD6E5C" w:rsidRDefault="00000000">
            <w:pPr>
              <w:rPr>
                <w:rFonts w:ascii="Tajawal" w:hAnsi="Tajawal" w:cs="Tajawal" w:hint="cs"/>
              </w:rPr>
            </w:pPr>
            <w:r w:rsidRPr="00AD6E5C">
              <w:rPr>
                <w:rFonts w:ascii="Tajawal" w:hAnsi="Tajawal" w:cs="Tajawal" w:hint="cs"/>
              </w:rPr>
              <w:t>Corridor evidence scoring and modeled shares</w:t>
            </w:r>
          </w:p>
        </w:tc>
        <w:tc>
          <w:tcPr>
            <w:tcW w:w="2650" w:type="dxa"/>
            <w:shd w:val="clear" w:color="auto" w:fill="FFFFFF"/>
          </w:tcPr>
          <w:p w14:paraId="4DE03BDC" w14:textId="77777777" w:rsidR="009475A0" w:rsidRPr="00AD6E5C" w:rsidRDefault="00000000">
            <w:pPr>
              <w:rPr>
                <w:rFonts w:ascii="Tajawal" w:hAnsi="Tajawal" w:cs="Tajawal" w:hint="cs"/>
              </w:rPr>
            </w:pPr>
            <w:r w:rsidRPr="00AD6E5C">
              <w:rPr>
                <w:rFonts w:ascii="Tajawal" w:hAnsi="Tajawal" w:cs="Tajawal" w:hint="cs"/>
              </w:rPr>
              <w:t>Transparent allocation logic by source country.</w:t>
            </w:r>
          </w:p>
        </w:tc>
        <w:tc>
          <w:tcPr>
            <w:tcW w:w="2560" w:type="dxa"/>
            <w:shd w:val="clear" w:color="auto" w:fill="FFFFFF"/>
          </w:tcPr>
          <w:p w14:paraId="2E654961" w14:textId="77777777" w:rsidR="009475A0" w:rsidRPr="00AD6E5C" w:rsidRDefault="00000000">
            <w:pPr>
              <w:rPr>
                <w:rFonts w:ascii="Tajawal" w:hAnsi="Tajawal" w:cs="Tajawal" w:hint="cs"/>
              </w:rPr>
            </w:pPr>
            <w:r w:rsidRPr="00AD6E5C">
              <w:rPr>
                <w:rFonts w:ascii="Tajawal" w:hAnsi="Tajawal" w:cs="Tajawal" w:hint="cs"/>
              </w:rPr>
              <w:t>Not a replacement for audited bilateral country-to-Egypt data.</w:t>
            </w:r>
          </w:p>
        </w:tc>
      </w:tr>
      <w:tr w:rsidR="009475A0" w:rsidRPr="00AD6E5C" w14:paraId="4BF61D20" w14:textId="77777777">
        <w:tc>
          <w:tcPr>
            <w:tcW w:w="1700" w:type="dxa"/>
            <w:shd w:val="clear" w:color="auto" w:fill="F8FBFD"/>
          </w:tcPr>
          <w:p w14:paraId="2E42EE68" w14:textId="77777777" w:rsidR="009475A0" w:rsidRPr="00AD6E5C" w:rsidRDefault="00000000">
            <w:pPr>
              <w:rPr>
                <w:rFonts w:ascii="Tajawal" w:hAnsi="Tajawal" w:cs="Tajawal" w:hint="cs"/>
              </w:rPr>
            </w:pPr>
            <w:r w:rsidRPr="00AD6E5C">
              <w:rPr>
                <w:rFonts w:ascii="Tajawal" w:hAnsi="Tajawal" w:cs="Tajawal" w:hint="cs"/>
              </w:rPr>
              <w:t>Revenue benchmarks</w:t>
            </w:r>
          </w:p>
        </w:tc>
        <w:tc>
          <w:tcPr>
            <w:tcW w:w="2450" w:type="dxa"/>
            <w:shd w:val="clear" w:color="auto" w:fill="F8FBFD"/>
          </w:tcPr>
          <w:p w14:paraId="58C0DEBA" w14:textId="77777777" w:rsidR="009475A0" w:rsidRPr="00AD6E5C" w:rsidRDefault="00000000">
            <w:pPr>
              <w:rPr>
                <w:rFonts w:ascii="Tajawal" w:hAnsi="Tajawal" w:cs="Tajawal" w:hint="cs"/>
              </w:rPr>
            </w:pPr>
            <w:r w:rsidRPr="00AD6E5C">
              <w:rPr>
                <w:rFonts w:ascii="Tajawal" w:hAnsi="Tajawal" w:cs="Tajawal" w:hint="cs"/>
              </w:rPr>
              <w:t>Wise, Remitly, Western Union, Euronet/Ria/Xe public disclosures</w:t>
            </w:r>
          </w:p>
        </w:tc>
        <w:tc>
          <w:tcPr>
            <w:tcW w:w="2650" w:type="dxa"/>
            <w:shd w:val="clear" w:color="auto" w:fill="F8FBFD"/>
          </w:tcPr>
          <w:p w14:paraId="7A2D6254" w14:textId="77777777" w:rsidR="009475A0" w:rsidRPr="00AD6E5C" w:rsidRDefault="00000000">
            <w:pPr>
              <w:rPr>
                <w:rFonts w:ascii="Tajawal" w:hAnsi="Tajawal" w:cs="Tajawal" w:hint="cs"/>
              </w:rPr>
            </w:pPr>
            <w:r w:rsidRPr="00AD6E5C">
              <w:rPr>
                <w:rFonts w:ascii="Tajawal" w:hAnsi="Tajawal" w:cs="Tajawal" w:hint="cs"/>
              </w:rPr>
              <w:t>Anchors transfer fee, FX margin, and remittance platform economics.</w:t>
            </w:r>
          </w:p>
        </w:tc>
        <w:tc>
          <w:tcPr>
            <w:tcW w:w="2560" w:type="dxa"/>
            <w:shd w:val="clear" w:color="auto" w:fill="F8FBFD"/>
          </w:tcPr>
          <w:p w14:paraId="3A222BC6" w14:textId="77777777" w:rsidR="009475A0" w:rsidRPr="00AD6E5C" w:rsidRDefault="00000000">
            <w:pPr>
              <w:rPr>
                <w:rFonts w:ascii="Tajawal" w:hAnsi="Tajawal" w:cs="Tajawal" w:hint="cs"/>
              </w:rPr>
            </w:pPr>
            <w:r w:rsidRPr="00AD6E5C">
              <w:rPr>
                <w:rFonts w:ascii="Tajawal" w:hAnsi="Tajawal" w:cs="Tajawal" w:hint="cs"/>
              </w:rPr>
              <w:t>Different geographies, product mixes, and disclosure conventions.</w:t>
            </w:r>
          </w:p>
        </w:tc>
      </w:tr>
      <w:tr w:rsidR="009475A0" w:rsidRPr="00AD6E5C" w14:paraId="1D6402EE" w14:textId="77777777">
        <w:tc>
          <w:tcPr>
            <w:tcW w:w="1700" w:type="dxa"/>
            <w:shd w:val="clear" w:color="auto" w:fill="FFFFFF"/>
          </w:tcPr>
          <w:p w14:paraId="3BC8386E" w14:textId="77777777" w:rsidR="009475A0" w:rsidRPr="00AD6E5C" w:rsidRDefault="00000000">
            <w:pPr>
              <w:rPr>
                <w:rFonts w:ascii="Tajawal" w:hAnsi="Tajawal" w:cs="Tajawal" w:hint="cs"/>
              </w:rPr>
            </w:pPr>
            <w:r w:rsidRPr="00AD6E5C">
              <w:rPr>
                <w:rFonts w:ascii="Tajawal" w:hAnsi="Tajawal" w:cs="Tajawal" w:hint="cs"/>
              </w:rPr>
              <w:t>SNPL monetization</w:t>
            </w:r>
          </w:p>
        </w:tc>
        <w:tc>
          <w:tcPr>
            <w:tcW w:w="2450" w:type="dxa"/>
            <w:shd w:val="clear" w:color="auto" w:fill="FFFFFF"/>
          </w:tcPr>
          <w:p w14:paraId="0B29ABB5" w14:textId="77777777" w:rsidR="009475A0" w:rsidRPr="00AD6E5C" w:rsidRDefault="00000000">
            <w:pPr>
              <w:rPr>
                <w:rFonts w:ascii="Tajawal" w:hAnsi="Tajawal" w:cs="Tajawal" w:hint="cs"/>
              </w:rPr>
            </w:pPr>
            <w:r w:rsidRPr="00AD6E5C">
              <w:rPr>
                <w:rFonts w:ascii="Tajawal" w:hAnsi="Tajawal" w:cs="Tajawal" w:hint="cs"/>
              </w:rPr>
              <w:t>Klarna and Affirm public disclosures used as analogues</w:t>
            </w:r>
          </w:p>
        </w:tc>
        <w:tc>
          <w:tcPr>
            <w:tcW w:w="2650" w:type="dxa"/>
            <w:shd w:val="clear" w:color="auto" w:fill="FFFFFF"/>
          </w:tcPr>
          <w:p w14:paraId="58ACE6C4" w14:textId="77777777" w:rsidR="009475A0" w:rsidRPr="00AD6E5C" w:rsidRDefault="00000000">
            <w:pPr>
              <w:rPr>
                <w:rFonts w:ascii="Tajawal" w:hAnsi="Tajawal" w:cs="Tajawal" w:hint="cs"/>
              </w:rPr>
            </w:pPr>
            <w:r w:rsidRPr="00AD6E5C">
              <w:rPr>
                <w:rFonts w:ascii="Tajawal" w:hAnsi="Tajawal" w:cs="Tajawal" w:hint="cs"/>
              </w:rPr>
              <w:t>Provides credit-enabled payment monetization reference.</w:t>
            </w:r>
          </w:p>
        </w:tc>
        <w:tc>
          <w:tcPr>
            <w:tcW w:w="2560" w:type="dxa"/>
            <w:shd w:val="clear" w:color="auto" w:fill="FFFFFF"/>
          </w:tcPr>
          <w:p w14:paraId="7C1DC6E4" w14:textId="77777777" w:rsidR="009475A0" w:rsidRPr="00AD6E5C" w:rsidRDefault="00000000">
            <w:pPr>
              <w:rPr>
                <w:rFonts w:ascii="Tajawal" w:hAnsi="Tajawal" w:cs="Tajawal" w:hint="cs"/>
              </w:rPr>
            </w:pPr>
            <w:r w:rsidRPr="00AD6E5C">
              <w:rPr>
                <w:rFonts w:ascii="Tajawal" w:hAnsi="Tajawal" w:cs="Tajawal" w:hint="cs"/>
              </w:rPr>
              <w:t>BNPL is not remittance; apply cautiously.</w:t>
            </w:r>
          </w:p>
        </w:tc>
      </w:tr>
      <w:tr w:rsidR="009475A0" w:rsidRPr="00AD6E5C" w14:paraId="3301E803" w14:textId="77777777">
        <w:tc>
          <w:tcPr>
            <w:tcW w:w="1700" w:type="dxa"/>
            <w:shd w:val="clear" w:color="auto" w:fill="F8FBFD"/>
          </w:tcPr>
          <w:p w14:paraId="20D11FBB" w14:textId="77777777" w:rsidR="009475A0" w:rsidRPr="00AD6E5C" w:rsidRDefault="00000000">
            <w:pPr>
              <w:rPr>
                <w:rFonts w:ascii="Tajawal" w:hAnsi="Tajawal" w:cs="Tajawal" w:hint="cs"/>
              </w:rPr>
            </w:pPr>
            <w:r w:rsidRPr="00AD6E5C">
              <w:rPr>
                <w:rFonts w:ascii="Tajawal" w:hAnsi="Tajawal" w:cs="Tajawal" w:hint="cs"/>
              </w:rPr>
              <w:t>Cost assumptions</w:t>
            </w:r>
          </w:p>
        </w:tc>
        <w:tc>
          <w:tcPr>
            <w:tcW w:w="2450" w:type="dxa"/>
            <w:shd w:val="clear" w:color="auto" w:fill="F8FBFD"/>
          </w:tcPr>
          <w:p w14:paraId="11BB166A" w14:textId="77777777" w:rsidR="009475A0" w:rsidRPr="00AD6E5C" w:rsidRDefault="00000000">
            <w:pPr>
              <w:rPr>
                <w:rFonts w:ascii="Tajawal" w:hAnsi="Tajawal" w:cs="Tajawal" w:hint="cs"/>
              </w:rPr>
            </w:pPr>
            <w:r w:rsidRPr="00AD6E5C">
              <w:rPr>
                <w:rFonts w:ascii="Tajawal" w:hAnsi="Tajawal" w:cs="Tajawal" w:hint="cs"/>
              </w:rPr>
              <w:t>Internal model build plus vendor/service categories</w:t>
            </w:r>
          </w:p>
        </w:tc>
        <w:tc>
          <w:tcPr>
            <w:tcW w:w="2650" w:type="dxa"/>
            <w:shd w:val="clear" w:color="auto" w:fill="F8FBFD"/>
          </w:tcPr>
          <w:p w14:paraId="51578CF1" w14:textId="77777777" w:rsidR="009475A0" w:rsidRPr="00AD6E5C" w:rsidRDefault="00000000">
            <w:pPr>
              <w:rPr>
                <w:rFonts w:ascii="Tajawal" w:hAnsi="Tajawal" w:cs="Tajawal" w:hint="cs"/>
              </w:rPr>
            </w:pPr>
            <w:r w:rsidRPr="00AD6E5C">
              <w:rPr>
                <w:rFonts w:ascii="Tajawal" w:hAnsi="Tajawal" w:cs="Tajawal" w:hint="cs"/>
              </w:rPr>
              <w:t>Identifies required operating infrastructure, controls, and scale costs.</w:t>
            </w:r>
          </w:p>
        </w:tc>
        <w:tc>
          <w:tcPr>
            <w:tcW w:w="2560" w:type="dxa"/>
            <w:shd w:val="clear" w:color="auto" w:fill="F8FBFD"/>
          </w:tcPr>
          <w:p w14:paraId="26C6C861" w14:textId="77777777" w:rsidR="009475A0" w:rsidRPr="00AD6E5C" w:rsidRDefault="00000000">
            <w:pPr>
              <w:rPr>
                <w:rFonts w:ascii="Tajawal" w:hAnsi="Tajawal" w:cs="Tajawal" w:hint="cs"/>
              </w:rPr>
            </w:pPr>
            <w:r w:rsidRPr="00AD6E5C">
              <w:rPr>
                <w:rFonts w:ascii="Tajawal" w:hAnsi="Tajawal" w:cs="Tajawal" w:hint="cs"/>
              </w:rPr>
              <w:t>Vendor quotes and licensing costs must be validated.</w:t>
            </w:r>
          </w:p>
        </w:tc>
      </w:tr>
    </w:tbl>
    <w:p w14:paraId="6B2E8C76" w14:textId="77777777" w:rsidR="009475A0" w:rsidRPr="00AD6E5C" w:rsidRDefault="00000000">
      <w:pPr>
        <w:pStyle w:val="Heading1"/>
        <w:rPr>
          <w:rFonts w:ascii="Tajawal" w:hAnsi="Tajawal" w:cs="Tajawal" w:hint="cs"/>
        </w:rPr>
      </w:pPr>
      <w:r w:rsidRPr="00AD6E5C">
        <w:rPr>
          <w:rFonts w:ascii="Tajawal" w:hAnsi="Tajawal" w:cs="Tajawal" w:hint="cs"/>
        </w:rPr>
        <w:t>8. Revenue Logic</w:t>
      </w:r>
    </w:p>
    <w:p w14:paraId="73CF6EBE" w14:textId="77777777" w:rsidR="009475A0" w:rsidRPr="00AD6E5C" w:rsidRDefault="00000000" w:rsidP="00AD6E5C">
      <w:pPr>
        <w:jc w:val="both"/>
        <w:rPr>
          <w:rFonts w:ascii="Tajawal" w:hAnsi="Tajawal" w:cs="Tajawal" w:hint="cs"/>
        </w:rPr>
      </w:pPr>
      <w:r w:rsidRPr="00AD6E5C">
        <w:rPr>
          <w:rFonts w:ascii="Tajawal" w:hAnsi="Tajawal" w:cs="Tajawal" w:hint="cs"/>
        </w:rPr>
        <w:t>Revenue is built from four streams. This makes the model more transparent than using a single blended take-rate.</w:t>
      </w:r>
    </w:p>
    <w:tbl>
      <w:tblPr>
        <w:tblW w:w="9360" w:type="dxa"/>
        <w:tblInd w:w="120" w:type="dxa"/>
        <w:tblBorders>
          <w:top w:val="single" w:sz="4" w:space="0" w:color="B7C9D6"/>
          <w:left w:val="single" w:sz="4" w:space="0" w:color="B7C9D6"/>
          <w:bottom w:val="single" w:sz="4" w:space="0" w:color="B7C9D6"/>
          <w:right w:val="single" w:sz="4" w:space="0" w:color="B7C9D6"/>
          <w:insideH w:val="single" w:sz="4" w:space="0" w:color="B7C9D6"/>
          <w:insideV w:val="single" w:sz="4" w:space="0" w:color="B7C9D6"/>
        </w:tblBorders>
        <w:tblLayout w:type="fixed"/>
        <w:tblCellMar>
          <w:top w:w="90" w:type="dxa"/>
          <w:left w:w="120" w:type="dxa"/>
          <w:bottom w:w="90" w:type="dxa"/>
          <w:right w:w="120" w:type="dxa"/>
        </w:tblCellMar>
        <w:tblLook w:val="0000" w:firstRow="0" w:lastRow="0" w:firstColumn="0" w:lastColumn="0" w:noHBand="0" w:noVBand="0"/>
      </w:tblPr>
      <w:tblGrid>
        <w:gridCol w:w="2500"/>
        <w:gridCol w:w="3200"/>
        <w:gridCol w:w="3660"/>
      </w:tblGrid>
      <w:tr w:rsidR="009475A0" w:rsidRPr="00AD6E5C" w14:paraId="7110AEE0" w14:textId="77777777">
        <w:tc>
          <w:tcPr>
            <w:tcW w:w="2500" w:type="dxa"/>
            <w:shd w:val="clear" w:color="auto" w:fill="0F3557"/>
          </w:tcPr>
          <w:p w14:paraId="77D8742B" w14:textId="77777777" w:rsidR="009475A0" w:rsidRPr="00AD6E5C" w:rsidRDefault="00000000">
            <w:pPr>
              <w:rPr>
                <w:rFonts w:ascii="Tajawal" w:hAnsi="Tajawal" w:cs="Tajawal" w:hint="cs"/>
              </w:rPr>
            </w:pPr>
            <w:r w:rsidRPr="00AD6E5C">
              <w:rPr>
                <w:rFonts w:ascii="Tajawal" w:hAnsi="Tajawal" w:cs="Tajawal" w:hint="cs"/>
                <w:b/>
                <w:color w:val="FFFFFF"/>
              </w:rPr>
              <w:t>Revenue Stream</w:t>
            </w:r>
          </w:p>
        </w:tc>
        <w:tc>
          <w:tcPr>
            <w:tcW w:w="3200" w:type="dxa"/>
            <w:shd w:val="clear" w:color="auto" w:fill="0F3557"/>
          </w:tcPr>
          <w:p w14:paraId="45ED8D48" w14:textId="77777777" w:rsidR="009475A0" w:rsidRPr="00AD6E5C" w:rsidRDefault="00000000">
            <w:pPr>
              <w:rPr>
                <w:rFonts w:ascii="Tajawal" w:hAnsi="Tajawal" w:cs="Tajawal" w:hint="cs"/>
              </w:rPr>
            </w:pPr>
            <w:r w:rsidRPr="00AD6E5C">
              <w:rPr>
                <w:rFonts w:ascii="Tajawal" w:hAnsi="Tajawal" w:cs="Tajawal" w:hint="cs"/>
                <w:b/>
                <w:color w:val="FFFFFF"/>
              </w:rPr>
              <w:t>Formula Logic</w:t>
            </w:r>
          </w:p>
        </w:tc>
        <w:tc>
          <w:tcPr>
            <w:tcW w:w="3660" w:type="dxa"/>
            <w:shd w:val="clear" w:color="auto" w:fill="0F3557"/>
          </w:tcPr>
          <w:p w14:paraId="4551E024" w14:textId="77777777" w:rsidR="009475A0" w:rsidRPr="00AD6E5C" w:rsidRDefault="00000000">
            <w:pPr>
              <w:rPr>
                <w:rFonts w:ascii="Tajawal" w:hAnsi="Tajawal" w:cs="Tajawal" w:hint="cs"/>
              </w:rPr>
            </w:pPr>
            <w:r w:rsidRPr="00AD6E5C">
              <w:rPr>
                <w:rFonts w:ascii="Tajawal" w:hAnsi="Tajawal" w:cs="Tajawal" w:hint="cs"/>
                <w:b/>
                <w:color w:val="FFFFFF"/>
              </w:rPr>
              <w:t>Investor Comment</w:t>
            </w:r>
          </w:p>
        </w:tc>
      </w:tr>
      <w:tr w:rsidR="009475A0" w:rsidRPr="00AD6E5C" w14:paraId="6BD0350A" w14:textId="77777777">
        <w:tc>
          <w:tcPr>
            <w:tcW w:w="2500" w:type="dxa"/>
            <w:shd w:val="clear" w:color="auto" w:fill="FFFFFF"/>
          </w:tcPr>
          <w:p w14:paraId="2811B380" w14:textId="77777777" w:rsidR="009475A0" w:rsidRPr="00AD6E5C" w:rsidRDefault="00000000">
            <w:pPr>
              <w:rPr>
                <w:rFonts w:ascii="Tajawal" w:hAnsi="Tajawal" w:cs="Tajawal" w:hint="cs"/>
              </w:rPr>
            </w:pPr>
            <w:r w:rsidRPr="00AD6E5C">
              <w:rPr>
                <w:rFonts w:ascii="Tajawal" w:hAnsi="Tajawal" w:cs="Tajawal" w:hint="cs"/>
              </w:rPr>
              <w:t>Transfer fee revenue</w:t>
            </w:r>
          </w:p>
        </w:tc>
        <w:tc>
          <w:tcPr>
            <w:tcW w:w="3200" w:type="dxa"/>
            <w:shd w:val="clear" w:color="auto" w:fill="FFFFFF"/>
          </w:tcPr>
          <w:p w14:paraId="4A1FED2C" w14:textId="77777777" w:rsidR="009475A0" w:rsidRPr="00AD6E5C" w:rsidRDefault="00000000">
            <w:pPr>
              <w:rPr>
                <w:rFonts w:ascii="Tajawal" w:hAnsi="Tajawal" w:cs="Tajawal" w:hint="cs"/>
              </w:rPr>
            </w:pPr>
            <w:r w:rsidRPr="00AD6E5C">
              <w:rPr>
                <w:rFonts w:ascii="Tajawal" w:hAnsi="Tajawal" w:cs="Tajawal" w:hint="cs"/>
              </w:rPr>
              <w:t>Captured volume multiplied by transfer fee take-rate.</w:t>
            </w:r>
          </w:p>
        </w:tc>
        <w:tc>
          <w:tcPr>
            <w:tcW w:w="3660" w:type="dxa"/>
            <w:shd w:val="clear" w:color="auto" w:fill="FFFFFF"/>
          </w:tcPr>
          <w:p w14:paraId="45DA8940" w14:textId="77777777" w:rsidR="009475A0" w:rsidRPr="00AD6E5C" w:rsidRDefault="00000000">
            <w:pPr>
              <w:rPr>
                <w:rFonts w:ascii="Tajawal" w:hAnsi="Tajawal" w:cs="Tajawal" w:hint="cs"/>
              </w:rPr>
            </w:pPr>
            <w:r w:rsidRPr="00AD6E5C">
              <w:rPr>
                <w:rFonts w:ascii="Tajawal" w:hAnsi="Tajawal" w:cs="Tajawal" w:hint="cs"/>
              </w:rPr>
              <w:t>Core remittance monetization, benchmarked against remittance peers.</w:t>
            </w:r>
          </w:p>
        </w:tc>
      </w:tr>
      <w:tr w:rsidR="009475A0" w:rsidRPr="00AD6E5C" w14:paraId="04A7F150" w14:textId="77777777">
        <w:tc>
          <w:tcPr>
            <w:tcW w:w="2500" w:type="dxa"/>
            <w:shd w:val="clear" w:color="auto" w:fill="F8FBFD"/>
          </w:tcPr>
          <w:p w14:paraId="2D8FA3D7" w14:textId="77777777" w:rsidR="009475A0" w:rsidRPr="00AD6E5C" w:rsidRDefault="00000000">
            <w:pPr>
              <w:rPr>
                <w:rFonts w:ascii="Tajawal" w:hAnsi="Tajawal" w:cs="Tajawal" w:hint="cs"/>
              </w:rPr>
            </w:pPr>
            <w:r w:rsidRPr="00AD6E5C">
              <w:rPr>
                <w:rFonts w:ascii="Tajawal" w:hAnsi="Tajawal" w:cs="Tajawal" w:hint="cs"/>
              </w:rPr>
              <w:t>FX margin revenue</w:t>
            </w:r>
          </w:p>
        </w:tc>
        <w:tc>
          <w:tcPr>
            <w:tcW w:w="3200" w:type="dxa"/>
            <w:shd w:val="clear" w:color="auto" w:fill="F8FBFD"/>
          </w:tcPr>
          <w:p w14:paraId="7A8D3576" w14:textId="77777777" w:rsidR="009475A0" w:rsidRPr="00AD6E5C" w:rsidRDefault="00000000">
            <w:pPr>
              <w:rPr>
                <w:rFonts w:ascii="Tajawal" w:hAnsi="Tajawal" w:cs="Tajawal" w:hint="cs"/>
              </w:rPr>
            </w:pPr>
            <w:r w:rsidRPr="00AD6E5C">
              <w:rPr>
                <w:rFonts w:ascii="Tajawal" w:hAnsi="Tajawal" w:cs="Tajawal" w:hint="cs"/>
              </w:rPr>
              <w:t>Captured volume multiplied by FX margin take-rate.</w:t>
            </w:r>
          </w:p>
        </w:tc>
        <w:tc>
          <w:tcPr>
            <w:tcW w:w="3660" w:type="dxa"/>
            <w:shd w:val="clear" w:color="auto" w:fill="F8FBFD"/>
          </w:tcPr>
          <w:p w14:paraId="1648DF37" w14:textId="77777777" w:rsidR="009475A0" w:rsidRPr="00AD6E5C" w:rsidRDefault="00000000">
            <w:pPr>
              <w:rPr>
                <w:rFonts w:ascii="Tajawal" w:hAnsi="Tajawal" w:cs="Tajawal" w:hint="cs"/>
              </w:rPr>
            </w:pPr>
            <w:r w:rsidRPr="00AD6E5C">
              <w:rPr>
                <w:rFonts w:ascii="Tajawal" w:hAnsi="Tajawal" w:cs="Tajawal" w:hint="cs"/>
              </w:rPr>
              <w:t>Conservative spread assumption; depends on corridor and pricing model.</w:t>
            </w:r>
          </w:p>
        </w:tc>
      </w:tr>
      <w:tr w:rsidR="009475A0" w:rsidRPr="00AD6E5C" w14:paraId="2B8A9FB9" w14:textId="77777777">
        <w:tc>
          <w:tcPr>
            <w:tcW w:w="2500" w:type="dxa"/>
            <w:shd w:val="clear" w:color="auto" w:fill="FFFFFF"/>
          </w:tcPr>
          <w:p w14:paraId="39E1439C" w14:textId="77777777" w:rsidR="009475A0" w:rsidRPr="00AD6E5C" w:rsidRDefault="00000000">
            <w:pPr>
              <w:rPr>
                <w:rFonts w:ascii="Tajawal" w:hAnsi="Tajawal" w:cs="Tajawal" w:hint="cs"/>
              </w:rPr>
            </w:pPr>
            <w:r w:rsidRPr="00AD6E5C">
              <w:rPr>
                <w:rFonts w:ascii="Tajawal" w:hAnsi="Tajawal" w:cs="Tajawal" w:hint="cs"/>
              </w:rPr>
              <w:t>SNPL service revenue</w:t>
            </w:r>
          </w:p>
        </w:tc>
        <w:tc>
          <w:tcPr>
            <w:tcW w:w="3200" w:type="dxa"/>
            <w:shd w:val="clear" w:color="auto" w:fill="FFFFFF"/>
          </w:tcPr>
          <w:p w14:paraId="11EB7E55" w14:textId="77777777" w:rsidR="009475A0" w:rsidRPr="00AD6E5C" w:rsidRDefault="00000000">
            <w:pPr>
              <w:rPr>
                <w:rFonts w:ascii="Tajawal" w:hAnsi="Tajawal" w:cs="Tajawal" w:hint="cs"/>
              </w:rPr>
            </w:pPr>
            <w:r w:rsidRPr="00AD6E5C">
              <w:rPr>
                <w:rFonts w:ascii="Tajawal" w:hAnsi="Tajawal" w:cs="Tajawal" w:hint="cs"/>
              </w:rPr>
              <w:t>Approved SNPL volume multiplied by service fee rate.</w:t>
            </w:r>
          </w:p>
        </w:tc>
        <w:tc>
          <w:tcPr>
            <w:tcW w:w="3660" w:type="dxa"/>
            <w:shd w:val="clear" w:color="auto" w:fill="FFFFFF"/>
          </w:tcPr>
          <w:p w14:paraId="125A415F" w14:textId="77777777" w:rsidR="009475A0" w:rsidRPr="00AD6E5C" w:rsidRDefault="00000000">
            <w:pPr>
              <w:rPr>
                <w:rFonts w:ascii="Tajawal" w:hAnsi="Tajawal" w:cs="Tajawal" w:hint="cs"/>
              </w:rPr>
            </w:pPr>
            <w:r w:rsidRPr="00AD6E5C">
              <w:rPr>
                <w:rFonts w:ascii="Tajawal" w:hAnsi="Tajawal" w:cs="Tajawal" w:hint="cs"/>
              </w:rPr>
              <w:t>Credit-layer monetization and key differentiator from normal remittance.</w:t>
            </w:r>
          </w:p>
        </w:tc>
      </w:tr>
      <w:tr w:rsidR="009475A0" w:rsidRPr="00AD6E5C" w14:paraId="3A5D94E2" w14:textId="77777777">
        <w:tc>
          <w:tcPr>
            <w:tcW w:w="2500" w:type="dxa"/>
            <w:shd w:val="clear" w:color="auto" w:fill="F8FBFD"/>
          </w:tcPr>
          <w:p w14:paraId="001E3741" w14:textId="77777777" w:rsidR="009475A0" w:rsidRPr="00AD6E5C" w:rsidRDefault="00000000">
            <w:pPr>
              <w:rPr>
                <w:rFonts w:ascii="Tajawal" w:hAnsi="Tajawal" w:cs="Tajawal" w:hint="cs"/>
              </w:rPr>
            </w:pPr>
            <w:r w:rsidRPr="00AD6E5C">
              <w:rPr>
                <w:rFonts w:ascii="Tajawal" w:hAnsi="Tajawal" w:cs="Tajawal" w:hint="cs"/>
              </w:rPr>
              <w:t>Late / recovery income</w:t>
            </w:r>
          </w:p>
        </w:tc>
        <w:tc>
          <w:tcPr>
            <w:tcW w:w="3200" w:type="dxa"/>
            <w:shd w:val="clear" w:color="auto" w:fill="F8FBFD"/>
          </w:tcPr>
          <w:p w14:paraId="223A7130" w14:textId="77777777" w:rsidR="009475A0" w:rsidRPr="00AD6E5C" w:rsidRDefault="00000000">
            <w:pPr>
              <w:rPr>
                <w:rFonts w:ascii="Tajawal" w:hAnsi="Tajawal" w:cs="Tajawal" w:hint="cs"/>
              </w:rPr>
            </w:pPr>
            <w:r w:rsidRPr="00AD6E5C">
              <w:rPr>
                <w:rFonts w:ascii="Tajawal" w:hAnsi="Tajawal" w:cs="Tajawal" w:hint="cs"/>
              </w:rPr>
              <w:t>Approved SNPL volume multiplied by small recovery-income rate.</w:t>
            </w:r>
          </w:p>
        </w:tc>
        <w:tc>
          <w:tcPr>
            <w:tcW w:w="3660" w:type="dxa"/>
            <w:shd w:val="clear" w:color="auto" w:fill="F8FBFD"/>
          </w:tcPr>
          <w:p w14:paraId="3714F73C" w14:textId="77777777" w:rsidR="009475A0" w:rsidRPr="00AD6E5C" w:rsidRDefault="00000000">
            <w:pPr>
              <w:rPr>
                <w:rFonts w:ascii="Tajawal" w:hAnsi="Tajawal" w:cs="Tajawal" w:hint="cs"/>
              </w:rPr>
            </w:pPr>
            <w:r w:rsidRPr="00AD6E5C">
              <w:rPr>
                <w:rFonts w:ascii="Tajawal" w:hAnsi="Tajawal" w:cs="Tajawal" w:hint="cs"/>
              </w:rPr>
              <w:t>Included conservatively; should not be the main investment thesis.</w:t>
            </w:r>
          </w:p>
        </w:tc>
      </w:tr>
    </w:tbl>
    <w:p w14:paraId="33258502" w14:textId="77777777" w:rsidR="009475A0" w:rsidRPr="00AD6E5C" w:rsidRDefault="00000000">
      <w:pPr>
        <w:pStyle w:val="Heading1"/>
        <w:rPr>
          <w:rFonts w:ascii="Tajawal" w:hAnsi="Tajawal" w:cs="Tajawal" w:hint="cs"/>
        </w:rPr>
      </w:pPr>
      <w:r w:rsidRPr="00AD6E5C">
        <w:rPr>
          <w:rFonts w:ascii="Tajawal" w:hAnsi="Tajawal" w:cs="Tajawal" w:hint="cs"/>
        </w:rPr>
        <w:lastRenderedPageBreak/>
        <w:t>9. Cost Logic and Optimization</w:t>
      </w:r>
    </w:p>
    <w:p w14:paraId="416C6E93" w14:textId="77777777" w:rsidR="009475A0" w:rsidRPr="00AD6E5C" w:rsidRDefault="00000000" w:rsidP="00AD6E5C">
      <w:pPr>
        <w:jc w:val="both"/>
        <w:rPr>
          <w:rFonts w:ascii="Tajawal" w:hAnsi="Tajawal" w:cs="Tajawal" w:hint="cs"/>
        </w:rPr>
      </w:pPr>
      <w:r w:rsidRPr="00AD6E5C">
        <w:rPr>
          <w:rFonts w:ascii="Tajawal" w:hAnsi="Tajawal" w:cs="Tajawal" w:hint="cs"/>
        </w:rPr>
        <w:t>The model separates variable costs, expected credit loss, fixed operating costs, partner acquisition costs, and CAPEX. This is important because not all costs should be reduced in the same way.</w:t>
      </w:r>
    </w:p>
    <w:p w14:paraId="77DAD6DD" w14:textId="77777777" w:rsidR="009475A0" w:rsidRPr="00AD6E5C" w:rsidRDefault="00000000" w:rsidP="00AD6E5C">
      <w:pPr>
        <w:jc w:val="both"/>
        <w:rPr>
          <w:rFonts w:ascii="Tajawal" w:hAnsi="Tajawal" w:cs="Tajawal" w:hint="cs"/>
        </w:rPr>
      </w:pPr>
      <w:r w:rsidRPr="00AD6E5C">
        <w:rPr>
          <w:rFonts w:ascii="Tajawal" w:hAnsi="Tajawal" w:cs="Tajawal" w:hint="cs"/>
        </w:rPr>
        <w:t>The cost optimization case focuses on reducing burn while protecting regulated controls. It targets partner pricing, automation, phased hiring, cloud credits, vendor scoping, milestone-based incentives, and partner-led marketing.</w:t>
      </w:r>
    </w:p>
    <w:tbl>
      <w:tblPr>
        <w:tblW w:w="9360" w:type="dxa"/>
        <w:tblInd w:w="120" w:type="dxa"/>
        <w:tblBorders>
          <w:top w:val="single" w:sz="4" w:space="0" w:color="B7C9D6"/>
          <w:left w:val="single" w:sz="4" w:space="0" w:color="B7C9D6"/>
          <w:bottom w:val="single" w:sz="4" w:space="0" w:color="B7C9D6"/>
          <w:right w:val="single" w:sz="4" w:space="0" w:color="B7C9D6"/>
          <w:insideH w:val="single" w:sz="4" w:space="0" w:color="B7C9D6"/>
          <w:insideV w:val="single" w:sz="4" w:space="0" w:color="B7C9D6"/>
        </w:tblBorders>
        <w:tblLayout w:type="fixed"/>
        <w:tblCellMar>
          <w:top w:w="90" w:type="dxa"/>
          <w:left w:w="120" w:type="dxa"/>
          <w:bottom w:w="90" w:type="dxa"/>
          <w:right w:w="120" w:type="dxa"/>
        </w:tblCellMar>
        <w:tblLook w:val="0000" w:firstRow="0" w:lastRow="0" w:firstColumn="0" w:lastColumn="0" w:noHBand="0" w:noVBand="0"/>
      </w:tblPr>
      <w:tblGrid>
        <w:gridCol w:w="2300"/>
        <w:gridCol w:w="3450"/>
        <w:gridCol w:w="3610"/>
      </w:tblGrid>
      <w:tr w:rsidR="009475A0" w:rsidRPr="00AD6E5C" w14:paraId="2A7A2F5D" w14:textId="77777777">
        <w:tc>
          <w:tcPr>
            <w:tcW w:w="2300" w:type="dxa"/>
            <w:shd w:val="clear" w:color="auto" w:fill="0F3557"/>
          </w:tcPr>
          <w:p w14:paraId="2171D7D8" w14:textId="77777777" w:rsidR="009475A0" w:rsidRPr="00AD6E5C" w:rsidRDefault="00000000">
            <w:pPr>
              <w:rPr>
                <w:rFonts w:ascii="Tajawal" w:hAnsi="Tajawal" w:cs="Tajawal" w:hint="cs"/>
              </w:rPr>
            </w:pPr>
            <w:r w:rsidRPr="00AD6E5C">
              <w:rPr>
                <w:rFonts w:ascii="Tajawal" w:hAnsi="Tajawal" w:cs="Tajawal" w:hint="cs"/>
                <w:b/>
                <w:color w:val="FFFFFF"/>
              </w:rPr>
              <w:t>Cost Lever</w:t>
            </w:r>
          </w:p>
        </w:tc>
        <w:tc>
          <w:tcPr>
            <w:tcW w:w="3450" w:type="dxa"/>
            <w:shd w:val="clear" w:color="auto" w:fill="0F3557"/>
          </w:tcPr>
          <w:p w14:paraId="2772412D" w14:textId="77777777" w:rsidR="009475A0" w:rsidRPr="00AD6E5C" w:rsidRDefault="00000000">
            <w:pPr>
              <w:rPr>
                <w:rFonts w:ascii="Tajawal" w:hAnsi="Tajawal" w:cs="Tajawal" w:hint="cs"/>
              </w:rPr>
            </w:pPr>
            <w:r w:rsidRPr="00AD6E5C">
              <w:rPr>
                <w:rFonts w:ascii="Tajawal" w:hAnsi="Tajawal" w:cs="Tajawal" w:hint="cs"/>
                <w:b/>
                <w:color w:val="FFFFFF"/>
              </w:rPr>
              <w:t>Optimization Logic</w:t>
            </w:r>
          </w:p>
        </w:tc>
        <w:tc>
          <w:tcPr>
            <w:tcW w:w="3610" w:type="dxa"/>
            <w:shd w:val="clear" w:color="auto" w:fill="0F3557"/>
          </w:tcPr>
          <w:p w14:paraId="653B2EAA" w14:textId="77777777" w:rsidR="009475A0" w:rsidRPr="00AD6E5C" w:rsidRDefault="00000000">
            <w:pPr>
              <w:rPr>
                <w:rFonts w:ascii="Tajawal" w:hAnsi="Tajawal" w:cs="Tajawal" w:hint="cs"/>
              </w:rPr>
            </w:pPr>
            <w:r w:rsidRPr="00AD6E5C">
              <w:rPr>
                <w:rFonts w:ascii="Tajawal" w:hAnsi="Tajawal" w:cs="Tajawal" w:hint="cs"/>
                <w:b/>
                <w:color w:val="FFFFFF"/>
              </w:rPr>
              <w:t>Control Boundary</w:t>
            </w:r>
          </w:p>
        </w:tc>
      </w:tr>
      <w:tr w:rsidR="009475A0" w:rsidRPr="00AD6E5C" w14:paraId="4C1AB595" w14:textId="77777777">
        <w:tc>
          <w:tcPr>
            <w:tcW w:w="2300" w:type="dxa"/>
            <w:shd w:val="clear" w:color="auto" w:fill="FFFFFF"/>
          </w:tcPr>
          <w:p w14:paraId="2C77C313" w14:textId="77777777" w:rsidR="009475A0" w:rsidRPr="00AD6E5C" w:rsidRDefault="00000000">
            <w:pPr>
              <w:rPr>
                <w:rFonts w:ascii="Tajawal" w:hAnsi="Tajawal" w:cs="Tajawal" w:hint="cs"/>
              </w:rPr>
            </w:pPr>
            <w:r w:rsidRPr="00AD6E5C">
              <w:rPr>
                <w:rFonts w:ascii="Tajawal" w:hAnsi="Tajawal" w:cs="Tajawal" w:hint="cs"/>
              </w:rPr>
              <w:t>People cost</w:t>
            </w:r>
          </w:p>
        </w:tc>
        <w:tc>
          <w:tcPr>
            <w:tcW w:w="3450" w:type="dxa"/>
            <w:shd w:val="clear" w:color="auto" w:fill="FFFFFF"/>
          </w:tcPr>
          <w:p w14:paraId="098383E7" w14:textId="77777777" w:rsidR="009475A0" w:rsidRPr="00AD6E5C" w:rsidRDefault="00000000">
            <w:pPr>
              <w:rPr>
                <w:rFonts w:ascii="Tajawal" w:hAnsi="Tajawal" w:cs="Tajawal" w:hint="cs"/>
              </w:rPr>
            </w:pPr>
            <w:r w:rsidRPr="00AD6E5C">
              <w:rPr>
                <w:rFonts w:ascii="Tajawal" w:hAnsi="Tajawal" w:cs="Tajawal" w:hint="cs"/>
              </w:rPr>
              <w:t>Phase hiring by corridor launch gates and outsource selected support functions early.</w:t>
            </w:r>
          </w:p>
        </w:tc>
        <w:tc>
          <w:tcPr>
            <w:tcW w:w="3610" w:type="dxa"/>
            <w:shd w:val="clear" w:color="auto" w:fill="FFFFFF"/>
          </w:tcPr>
          <w:p w14:paraId="1567D9C9" w14:textId="77777777" w:rsidR="009475A0" w:rsidRPr="00AD6E5C" w:rsidRDefault="00000000">
            <w:pPr>
              <w:rPr>
                <w:rFonts w:ascii="Tajawal" w:hAnsi="Tajawal" w:cs="Tajawal" w:hint="cs"/>
              </w:rPr>
            </w:pPr>
            <w:r w:rsidRPr="00AD6E5C">
              <w:rPr>
                <w:rFonts w:ascii="Tajawal" w:hAnsi="Tajawal" w:cs="Tajawal" w:hint="cs"/>
              </w:rPr>
              <w:t>Do not remove core risk, compliance, finance, or technology leadership.</w:t>
            </w:r>
          </w:p>
        </w:tc>
      </w:tr>
      <w:tr w:rsidR="009475A0" w:rsidRPr="00AD6E5C" w14:paraId="70F94FC0" w14:textId="77777777">
        <w:tc>
          <w:tcPr>
            <w:tcW w:w="2300" w:type="dxa"/>
            <w:shd w:val="clear" w:color="auto" w:fill="F8FBFD"/>
          </w:tcPr>
          <w:p w14:paraId="37B4EC7F" w14:textId="77777777" w:rsidR="009475A0" w:rsidRPr="00AD6E5C" w:rsidRDefault="00000000">
            <w:pPr>
              <w:rPr>
                <w:rFonts w:ascii="Tajawal" w:hAnsi="Tajawal" w:cs="Tajawal" w:hint="cs"/>
              </w:rPr>
            </w:pPr>
            <w:r w:rsidRPr="00AD6E5C">
              <w:rPr>
                <w:rFonts w:ascii="Tajawal" w:hAnsi="Tajawal" w:cs="Tajawal" w:hint="cs"/>
              </w:rPr>
              <w:t>Technology / cloud</w:t>
            </w:r>
          </w:p>
        </w:tc>
        <w:tc>
          <w:tcPr>
            <w:tcW w:w="3450" w:type="dxa"/>
            <w:shd w:val="clear" w:color="auto" w:fill="F8FBFD"/>
          </w:tcPr>
          <w:p w14:paraId="32E19609" w14:textId="77777777" w:rsidR="009475A0" w:rsidRPr="00AD6E5C" w:rsidRDefault="00000000">
            <w:pPr>
              <w:rPr>
                <w:rFonts w:ascii="Tajawal" w:hAnsi="Tajawal" w:cs="Tajawal" w:hint="cs"/>
              </w:rPr>
            </w:pPr>
            <w:r w:rsidRPr="00AD6E5C">
              <w:rPr>
                <w:rFonts w:ascii="Tajawal" w:hAnsi="Tajawal" w:cs="Tajawal" w:hint="cs"/>
              </w:rPr>
              <w:t>Use startup credits, reserved capacity, and fewer duplicate tools.</w:t>
            </w:r>
          </w:p>
        </w:tc>
        <w:tc>
          <w:tcPr>
            <w:tcW w:w="3610" w:type="dxa"/>
            <w:shd w:val="clear" w:color="auto" w:fill="F8FBFD"/>
          </w:tcPr>
          <w:p w14:paraId="13459F34" w14:textId="77777777" w:rsidR="009475A0" w:rsidRPr="00AD6E5C" w:rsidRDefault="00000000">
            <w:pPr>
              <w:rPr>
                <w:rFonts w:ascii="Tajawal" w:hAnsi="Tajawal" w:cs="Tajawal" w:hint="cs"/>
              </w:rPr>
            </w:pPr>
            <w:r w:rsidRPr="00AD6E5C">
              <w:rPr>
                <w:rFonts w:ascii="Tajawal" w:hAnsi="Tajawal" w:cs="Tajawal" w:hint="cs"/>
              </w:rPr>
              <w:t>Maintain security, backup, monitoring, and audit logs.</w:t>
            </w:r>
          </w:p>
        </w:tc>
      </w:tr>
      <w:tr w:rsidR="009475A0" w:rsidRPr="00AD6E5C" w14:paraId="48810549" w14:textId="77777777">
        <w:tc>
          <w:tcPr>
            <w:tcW w:w="2300" w:type="dxa"/>
            <w:shd w:val="clear" w:color="auto" w:fill="FFFFFF"/>
          </w:tcPr>
          <w:p w14:paraId="27756BFE" w14:textId="77777777" w:rsidR="009475A0" w:rsidRPr="00AD6E5C" w:rsidRDefault="00000000">
            <w:pPr>
              <w:rPr>
                <w:rFonts w:ascii="Tajawal" w:hAnsi="Tajawal" w:cs="Tajawal" w:hint="cs"/>
              </w:rPr>
            </w:pPr>
            <w:r w:rsidRPr="00AD6E5C">
              <w:rPr>
                <w:rFonts w:ascii="Tajawal" w:hAnsi="Tajawal" w:cs="Tajawal" w:hint="cs"/>
              </w:rPr>
              <w:t>Marketing / BD</w:t>
            </w:r>
          </w:p>
        </w:tc>
        <w:tc>
          <w:tcPr>
            <w:tcW w:w="3450" w:type="dxa"/>
            <w:shd w:val="clear" w:color="auto" w:fill="FFFFFF"/>
          </w:tcPr>
          <w:p w14:paraId="5EBCB0AF" w14:textId="77777777" w:rsidR="009475A0" w:rsidRPr="00AD6E5C" w:rsidRDefault="00000000">
            <w:pPr>
              <w:rPr>
                <w:rFonts w:ascii="Tajawal" w:hAnsi="Tajawal" w:cs="Tajawal" w:hint="cs"/>
              </w:rPr>
            </w:pPr>
            <w:r w:rsidRPr="00AD6E5C">
              <w:rPr>
                <w:rFonts w:ascii="Tajawal" w:hAnsi="Tajawal" w:cs="Tajawal" w:hint="cs"/>
              </w:rPr>
              <w:t>Shift to corridor pilots and partner co-marketing.</w:t>
            </w:r>
          </w:p>
        </w:tc>
        <w:tc>
          <w:tcPr>
            <w:tcW w:w="3610" w:type="dxa"/>
            <w:shd w:val="clear" w:color="auto" w:fill="FFFFFF"/>
          </w:tcPr>
          <w:p w14:paraId="07D3195F" w14:textId="77777777" w:rsidR="009475A0" w:rsidRPr="00AD6E5C" w:rsidRDefault="00000000">
            <w:pPr>
              <w:rPr>
                <w:rFonts w:ascii="Tajawal" w:hAnsi="Tajawal" w:cs="Tajawal" w:hint="cs"/>
              </w:rPr>
            </w:pPr>
            <w:r w:rsidRPr="00AD6E5C">
              <w:rPr>
                <w:rFonts w:ascii="Tajawal" w:hAnsi="Tajawal" w:cs="Tajawal" w:hint="cs"/>
              </w:rPr>
              <w:t>Spend only where partner conversion is measurable.</w:t>
            </w:r>
          </w:p>
        </w:tc>
      </w:tr>
      <w:tr w:rsidR="009475A0" w:rsidRPr="00AD6E5C" w14:paraId="2B4E89BA" w14:textId="77777777">
        <w:tc>
          <w:tcPr>
            <w:tcW w:w="2300" w:type="dxa"/>
            <w:shd w:val="clear" w:color="auto" w:fill="F8FBFD"/>
          </w:tcPr>
          <w:p w14:paraId="18B4AF11" w14:textId="77777777" w:rsidR="009475A0" w:rsidRPr="00AD6E5C" w:rsidRDefault="00000000">
            <w:pPr>
              <w:rPr>
                <w:rFonts w:ascii="Tajawal" w:hAnsi="Tajawal" w:cs="Tajawal" w:hint="cs"/>
              </w:rPr>
            </w:pPr>
            <w:r w:rsidRPr="00AD6E5C">
              <w:rPr>
                <w:rFonts w:ascii="Tajawal" w:hAnsi="Tajawal" w:cs="Tajawal" w:hint="cs"/>
              </w:rPr>
              <w:t>MTO / creditor acquisition</w:t>
            </w:r>
          </w:p>
        </w:tc>
        <w:tc>
          <w:tcPr>
            <w:tcW w:w="3450" w:type="dxa"/>
            <w:shd w:val="clear" w:color="auto" w:fill="F8FBFD"/>
          </w:tcPr>
          <w:p w14:paraId="66ACE814" w14:textId="77777777" w:rsidR="009475A0" w:rsidRPr="00AD6E5C" w:rsidRDefault="00000000">
            <w:pPr>
              <w:rPr>
                <w:rFonts w:ascii="Tajawal" w:hAnsi="Tajawal" w:cs="Tajawal" w:hint="cs"/>
              </w:rPr>
            </w:pPr>
            <w:r w:rsidRPr="00AD6E5C">
              <w:rPr>
                <w:rFonts w:ascii="Tajawal" w:hAnsi="Tajawal" w:cs="Tajawal" w:hint="cs"/>
              </w:rPr>
              <w:t>Replace large upfront incentives with milestone-based activation and volume gates.</w:t>
            </w:r>
          </w:p>
        </w:tc>
        <w:tc>
          <w:tcPr>
            <w:tcW w:w="3610" w:type="dxa"/>
            <w:shd w:val="clear" w:color="auto" w:fill="F8FBFD"/>
          </w:tcPr>
          <w:p w14:paraId="12503D5B" w14:textId="77777777" w:rsidR="009475A0" w:rsidRPr="00AD6E5C" w:rsidRDefault="00000000">
            <w:pPr>
              <w:rPr>
                <w:rFonts w:ascii="Tajawal" w:hAnsi="Tajawal" w:cs="Tajawal" w:hint="cs"/>
              </w:rPr>
            </w:pPr>
            <w:r w:rsidRPr="00AD6E5C">
              <w:rPr>
                <w:rFonts w:ascii="Tajawal" w:hAnsi="Tajawal" w:cs="Tajawal" w:hint="cs"/>
              </w:rPr>
              <w:t>Do not weaken due diligence, integration testing, or compliance onboarding.</w:t>
            </w:r>
          </w:p>
        </w:tc>
      </w:tr>
      <w:tr w:rsidR="009475A0" w:rsidRPr="00AD6E5C" w14:paraId="23CFD69A" w14:textId="77777777">
        <w:tc>
          <w:tcPr>
            <w:tcW w:w="2300" w:type="dxa"/>
            <w:shd w:val="clear" w:color="auto" w:fill="FFFFFF"/>
          </w:tcPr>
          <w:p w14:paraId="7F066AD9" w14:textId="77777777" w:rsidR="009475A0" w:rsidRPr="00AD6E5C" w:rsidRDefault="00000000">
            <w:pPr>
              <w:rPr>
                <w:rFonts w:ascii="Tajawal" w:hAnsi="Tajawal" w:cs="Tajawal" w:hint="cs"/>
              </w:rPr>
            </w:pPr>
            <w:r w:rsidRPr="00AD6E5C">
              <w:rPr>
                <w:rFonts w:ascii="Tajawal" w:hAnsi="Tajawal" w:cs="Tajawal" w:hint="cs"/>
              </w:rPr>
              <w:t>Third-party advisors</w:t>
            </w:r>
          </w:p>
        </w:tc>
        <w:tc>
          <w:tcPr>
            <w:tcW w:w="3450" w:type="dxa"/>
            <w:shd w:val="clear" w:color="auto" w:fill="FFFFFF"/>
          </w:tcPr>
          <w:p w14:paraId="343E1592" w14:textId="77777777" w:rsidR="009475A0" w:rsidRPr="00AD6E5C" w:rsidRDefault="00000000">
            <w:pPr>
              <w:rPr>
                <w:rFonts w:ascii="Tajawal" w:hAnsi="Tajawal" w:cs="Tajawal" w:hint="cs"/>
              </w:rPr>
            </w:pPr>
            <w:r w:rsidRPr="00AD6E5C">
              <w:rPr>
                <w:rFonts w:ascii="Tajawal" w:hAnsi="Tajawal" w:cs="Tajawal" w:hint="cs"/>
              </w:rPr>
              <w:t>Use scoped Big 4 and specialist boutiques where appropriate.</w:t>
            </w:r>
          </w:p>
        </w:tc>
        <w:tc>
          <w:tcPr>
            <w:tcW w:w="3610" w:type="dxa"/>
            <w:shd w:val="clear" w:color="auto" w:fill="FFFFFF"/>
          </w:tcPr>
          <w:p w14:paraId="4CCE5CED" w14:textId="77777777" w:rsidR="009475A0" w:rsidRPr="00AD6E5C" w:rsidRDefault="00000000">
            <w:pPr>
              <w:rPr>
                <w:rFonts w:ascii="Tajawal" w:hAnsi="Tajawal" w:cs="Tajawal" w:hint="cs"/>
              </w:rPr>
            </w:pPr>
            <w:r w:rsidRPr="00AD6E5C">
              <w:rPr>
                <w:rFonts w:ascii="Tajawal" w:hAnsi="Tajawal" w:cs="Tajawal" w:hint="cs"/>
              </w:rPr>
              <w:t>Keep statutory audit, regulatory counsel, cyber testing, and risk validation.</w:t>
            </w:r>
          </w:p>
        </w:tc>
      </w:tr>
    </w:tbl>
    <w:p w14:paraId="77689800" w14:textId="77777777" w:rsidR="009475A0" w:rsidRPr="00AD6E5C" w:rsidRDefault="00000000">
      <w:pPr>
        <w:pStyle w:val="Heading1"/>
        <w:rPr>
          <w:rFonts w:ascii="Tajawal" w:hAnsi="Tajawal" w:cs="Tajawal" w:hint="cs"/>
        </w:rPr>
      </w:pPr>
      <w:r w:rsidRPr="00AD6E5C">
        <w:rPr>
          <w:rFonts w:ascii="Tajawal" w:hAnsi="Tajawal" w:cs="Tajawal" w:hint="cs"/>
        </w:rPr>
        <w:t>10. Financial Statement Logic</w:t>
      </w:r>
    </w:p>
    <w:p w14:paraId="029C31D6" w14:textId="77777777" w:rsidR="009475A0" w:rsidRPr="00AD6E5C" w:rsidRDefault="00000000" w:rsidP="00AD6E5C">
      <w:pPr>
        <w:jc w:val="both"/>
        <w:rPr>
          <w:rFonts w:ascii="Tajawal" w:hAnsi="Tajawal" w:cs="Tajawal" w:hint="cs"/>
        </w:rPr>
      </w:pPr>
      <w:r w:rsidRPr="00AD6E5C">
        <w:rPr>
          <w:rFonts w:ascii="Tajawal" w:hAnsi="Tajawal" w:cs="Tajawal" w:hint="cs"/>
        </w:rPr>
        <w:t>The 5Y_Financials tab translates the operating model into revenue, variable cost, gross profit, fixed OPEX, EBITDA, CAPEX, EBIT, tax, NOPAT, and free cash flow. IFRS planning tabs then provide a preliminary income statement and balance sheet view.</w:t>
      </w:r>
    </w:p>
    <w:p w14:paraId="3D309F8E" w14:textId="77777777" w:rsidR="009475A0" w:rsidRPr="00AD6E5C" w:rsidRDefault="00000000" w:rsidP="00AD6E5C">
      <w:pPr>
        <w:jc w:val="both"/>
        <w:rPr>
          <w:rFonts w:ascii="Tajawal" w:hAnsi="Tajawal" w:cs="Tajawal" w:hint="cs"/>
        </w:rPr>
      </w:pPr>
      <w:r w:rsidRPr="00AD6E5C">
        <w:rPr>
          <w:rFonts w:ascii="Tajawal" w:hAnsi="Tajawal" w:cs="Tajawal" w:hint="cs"/>
        </w:rPr>
        <w:t>Investors should treat these as planning statements. They are useful for understanding economics and funding requirement, but they are not audited financial statements. Actual IFRS treatment will depend on legal structure, creditor arrangements, principal-versus-agent analysis, expected credit loss methodology, and revenue recognition policy.</w:t>
      </w:r>
    </w:p>
    <w:p w14:paraId="0D65E900" w14:textId="77777777" w:rsidR="009475A0" w:rsidRPr="00AD6E5C" w:rsidRDefault="00000000">
      <w:pPr>
        <w:pStyle w:val="Heading1"/>
        <w:rPr>
          <w:rFonts w:ascii="Tajawal" w:hAnsi="Tajawal" w:cs="Tajawal" w:hint="cs"/>
        </w:rPr>
      </w:pPr>
      <w:r w:rsidRPr="00AD6E5C">
        <w:rPr>
          <w:rFonts w:ascii="Tajawal" w:hAnsi="Tajawal" w:cs="Tajawal" w:hint="cs"/>
        </w:rPr>
        <w:lastRenderedPageBreak/>
        <w:t>11. Valuation Methodology</w:t>
      </w:r>
    </w:p>
    <w:p w14:paraId="19A86A63" w14:textId="77777777" w:rsidR="009475A0" w:rsidRPr="00AD6E5C" w:rsidRDefault="00000000" w:rsidP="00AD6E5C">
      <w:pPr>
        <w:jc w:val="both"/>
        <w:rPr>
          <w:rFonts w:ascii="Tajawal" w:hAnsi="Tajawal" w:cs="Tajawal" w:hint="cs"/>
        </w:rPr>
      </w:pPr>
      <w:r w:rsidRPr="00AD6E5C">
        <w:rPr>
          <w:rFonts w:ascii="Tajawal" w:hAnsi="Tajawal" w:cs="Tajawal" w:hint="cs"/>
        </w:rPr>
        <w:t>The valuation tab uses a blended approach:</w:t>
      </w:r>
    </w:p>
    <w:p w14:paraId="63221700" w14:textId="77777777" w:rsidR="00AD6E5C" w:rsidRDefault="00000000" w:rsidP="00AD6E5C">
      <w:pPr>
        <w:pStyle w:val="ListParagraph"/>
        <w:numPr>
          <w:ilvl w:val="0"/>
          <w:numId w:val="3"/>
        </w:numPr>
        <w:rPr>
          <w:rFonts w:ascii="Tajawal" w:hAnsi="Tajawal" w:cs="Tajawal"/>
        </w:rPr>
      </w:pPr>
      <w:r w:rsidRPr="00AD6E5C">
        <w:rPr>
          <w:rFonts w:ascii="Tajawal" w:hAnsi="Tajawal" w:cs="Tajawal" w:hint="cs"/>
        </w:rPr>
        <w:t>DCF method: discounts projected free cash flows and terminal value using a pre-go-live risk discount rate.</w:t>
      </w:r>
    </w:p>
    <w:p w14:paraId="3CE2484D" w14:textId="77777777" w:rsidR="00AD6E5C" w:rsidRDefault="00000000" w:rsidP="00AD6E5C">
      <w:pPr>
        <w:pStyle w:val="ListParagraph"/>
        <w:numPr>
          <w:ilvl w:val="0"/>
          <w:numId w:val="3"/>
        </w:numPr>
        <w:rPr>
          <w:rFonts w:ascii="Tajawal" w:hAnsi="Tajawal" w:cs="Tajawal"/>
        </w:rPr>
      </w:pPr>
      <w:r w:rsidRPr="00AD6E5C">
        <w:rPr>
          <w:rFonts w:ascii="Tajawal" w:hAnsi="Tajawal" w:cs="Tajawal" w:hint="cs"/>
        </w:rPr>
        <w:t>Revenue multiple method: applies an exit EV/revenue multiple to 2031 revenue.</w:t>
      </w:r>
    </w:p>
    <w:p w14:paraId="5F3D55A2" w14:textId="77777777" w:rsidR="00AD6E5C" w:rsidRDefault="00000000" w:rsidP="00AD6E5C">
      <w:pPr>
        <w:pStyle w:val="ListParagraph"/>
        <w:numPr>
          <w:ilvl w:val="0"/>
          <w:numId w:val="3"/>
        </w:numPr>
        <w:rPr>
          <w:rFonts w:ascii="Tajawal" w:hAnsi="Tajawal" w:cs="Tajawal"/>
        </w:rPr>
      </w:pPr>
      <w:r w:rsidRPr="00AD6E5C">
        <w:rPr>
          <w:rFonts w:ascii="Tajawal" w:hAnsi="Tajawal" w:cs="Tajawal" w:hint="cs"/>
        </w:rPr>
        <w:t>Blended enterprise value: averages the DCF and revenue multiple outputs.</w:t>
      </w:r>
    </w:p>
    <w:p w14:paraId="3AC6B17D" w14:textId="6160F253" w:rsidR="009475A0" w:rsidRPr="00AD6E5C" w:rsidRDefault="00000000" w:rsidP="00AD6E5C">
      <w:pPr>
        <w:pStyle w:val="ListParagraph"/>
        <w:numPr>
          <w:ilvl w:val="0"/>
          <w:numId w:val="3"/>
        </w:numPr>
        <w:rPr>
          <w:rFonts w:ascii="Tajawal" w:hAnsi="Tajawal" w:cs="Tajawal" w:hint="cs"/>
        </w:rPr>
      </w:pPr>
      <w:r w:rsidRPr="00AD6E5C">
        <w:rPr>
          <w:rFonts w:ascii="Tajawal" w:hAnsi="Tajawal" w:cs="Tajawal" w:hint="cs"/>
        </w:rPr>
        <w:t>Indicative equity value: subtracts assumed net debt or adds net cash from blended enterprise value.</w:t>
      </w:r>
    </w:p>
    <w:p w14:paraId="7393EC96" w14:textId="77777777" w:rsidR="009475A0" w:rsidRPr="00AD6E5C" w:rsidRDefault="00000000" w:rsidP="00AD6E5C">
      <w:pPr>
        <w:jc w:val="both"/>
        <w:rPr>
          <w:rFonts w:ascii="Tajawal" w:hAnsi="Tajawal" w:cs="Tajawal" w:hint="cs"/>
        </w:rPr>
      </w:pPr>
      <w:r w:rsidRPr="00AD6E5C">
        <w:rPr>
          <w:rFonts w:ascii="Tajawal" w:hAnsi="Tajawal" w:cs="Tajawal" w:hint="cs"/>
        </w:rPr>
        <w:t>The model currently uses a 3.0x EV/revenue multiple and a 22% discount rate. These are planning assumptions, not market guarantees. Investors should test both variables heavily.</w:t>
      </w:r>
    </w:p>
    <w:p w14:paraId="0CE83114" w14:textId="77777777" w:rsidR="009475A0" w:rsidRPr="00AD6E5C" w:rsidRDefault="00000000">
      <w:pPr>
        <w:pStyle w:val="Heading1"/>
        <w:rPr>
          <w:rFonts w:ascii="Tajawal" w:hAnsi="Tajawal" w:cs="Tajawal" w:hint="cs"/>
        </w:rPr>
      </w:pPr>
      <w:r w:rsidRPr="00AD6E5C">
        <w:rPr>
          <w:rFonts w:ascii="Tajawal" w:hAnsi="Tajawal" w:cs="Tajawal" w:hint="cs"/>
        </w:rPr>
        <w:t>12. Key Risks and Limitations</w:t>
      </w:r>
    </w:p>
    <w:tbl>
      <w:tblPr>
        <w:tblW w:w="9360" w:type="dxa"/>
        <w:tblBorders>
          <w:top w:val="nil"/>
          <w:left w:val="single" w:sz="24" w:space="0" w:color="9B1C1C"/>
          <w:bottom w:val="nil"/>
          <w:right w:val="nil"/>
          <w:insideH w:val="nil"/>
          <w:insideV w:val="nil"/>
        </w:tblBorders>
        <w:tblCellMar>
          <w:top w:w="140" w:type="dxa"/>
          <w:left w:w="180" w:type="dxa"/>
          <w:bottom w:w="140" w:type="dxa"/>
          <w:right w:w="180" w:type="dxa"/>
        </w:tblCellMar>
        <w:tblLook w:val="0000" w:firstRow="0" w:lastRow="0" w:firstColumn="0" w:lastColumn="0" w:noHBand="0" w:noVBand="0"/>
      </w:tblPr>
      <w:tblGrid>
        <w:gridCol w:w="9360"/>
      </w:tblGrid>
      <w:tr w:rsidR="009475A0" w:rsidRPr="00AD6E5C" w14:paraId="62B5E2D5" w14:textId="77777777">
        <w:tc>
          <w:tcPr>
            <w:tcW w:w="9360" w:type="dxa"/>
            <w:shd w:val="clear" w:color="auto" w:fill="FDECEC"/>
          </w:tcPr>
          <w:p w14:paraId="42AF8609" w14:textId="77777777" w:rsidR="009475A0" w:rsidRPr="00AD6E5C" w:rsidRDefault="00000000" w:rsidP="00AD6E5C">
            <w:pPr>
              <w:jc w:val="both"/>
              <w:rPr>
                <w:rFonts w:ascii="Tajawal" w:hAnsi="Tajawal" w:cs="Tajawal" w:hint="cs"/>
              </w:rPr>
            </w:pPr>
            <w:r w:rsidRPr="00AD6E5C">
              <w:rPr>
                <w:rFonts w:ascii="Tajawal" w:hAnsi="Tajawal" w:cs="Tajawal" w:hint="cs"/>
              </w:rPr>
              <w:t>Primary limitation. The model has no live operating history yet. The most important missing evidence is actual customer conversion, SNPL approval rate, repayment behavior, fraud loss, partner activation performance, and true unit cost after launch.</w:t>
            </w:r>
          </w:p>
        </w:tc>
      </w:tr>
    </w:tbl>
    <w:tbl>
      <w:tblPr>
        <w:tblW w:w="9360" w:type="dxa"/>
        <w:tblInd w:w="120" w:type="dxa"/>
        <w:tblBorders>
          <w:top w:val="single" w:sz="4" w:space="0" w:color="B7C9D6"/>
          <w:left w:val="single" w:sz="4" w:space="0" w:color="B7C9D6"/>
          <w:bottom w:val="single" w:sz="4" w:space="0" w:color="B7C9D6"/>
          <w:right w:val="single" w:sz="4" w:space="0" w:color="B7C9D6"/>
          <w:insideH w:val="single" w:sz="4" w:space="0" w:color="B7C9D6"/>
          <w:insideV w:val="single" w:sz="4" w:space="0" w:color="B7C9D6"/>
        </w:tblBorders>
        <w:tblLayout w:type="fixed"/>
        <w:tblCellMar>
          <w:top w:w="90" w:type="dxa"/>
          <w:left w:w="120" w:type="dxa"/>
          <w:bottom w:w="90" w:type="dxa"/>
          <w:right w:w="120" w:type="dxa"/>
        </w:tblCellMar>
        <w:tblLook w:val="0000" w:firstRow="0" w:lastRow="0" w:firstColumn="0" w:lastColumn="0" w:noHBand="0" w:noVBand="0"/>
      </w:tblPr>
      <w:tblGrid>
        <w:gridCol w:w="2300"/>
        <w:gridCol w:w="3530"/>
        <w:gridCol w:w="3530"/>
      </w:tblGrid>
      <w:tr w:rsidR="009475A0" w:rsidRPr="00AD6E5C" w14:paraId="4E56B40B" w14:textId="77777777">
        <w:tc>
          <w:tcPr>
            <w:tcW w:w="2300" w:type="dxa"/>
            <w:shd w:val="clear" w:color="auto" w:fill="0F3557"/>
          </w:tcPr>
          <w:p w14:paraId="76CBDDDE" w14:textId="77777777" w:rsidR="009475A0" w:rsidRPr="00AD6E5C" w:rsidRDefault="00000000">
            <w:pPr>
              <w:rPr>
                <w:rFonts w:ascii="Tajawal" w:hAnsi="Tajawal" w:cs="Tajawal" w:hint="cs"/>
              </w:rPr>
            </w:pPr>
            <w:r w:rsidRPr="00AD6E5C">
              <w:rPr>
                <w:rFonts w:ascii="Tajawal" w:hAnsi="Tajawal" w:cs="Tajawal" w:hint="cs"/>
                <w:b/>
                <w:color w:val="FFFFFF"/>
              </w:rPr>
              <w:t>Risk</w:t>
            </w:r>
          </w:p>
        </w:tc>
        <w:tc>
          <w:tcPr>
            <w:tcW w:w="3530" w:type="dxa"/>
            <w:shd w:val="clear" w:color="auto" w:fill="0F3557"/>
          </w:tcPr>
          <w:p w14:paraId="060B7B59" w14:textId="77777777" w:rsidR="009475A0" w:rsidRPr="00AD6E5C" w:rsidRDefault="00000000">
            <w:pPr>
              <w:rPr>
                <w:rFonts w:ascii="Tajawal" w:hAnsi="Tajawal" w:cs="Tajawal" w:hint="cs"/>
              </w:rPr>
            </w:pPr>
            <w:r w:rsidRPr="00AD6E5C">
              <w:rPr>
                <w:rFonts w:ascii="Tajawal" w:hAnsi="Tajawal" w:cs="Tajawal" w:hint="cs"/>
                <w:b/>
                <w:color w:val="FFFFFF"/>
              </w:rPr>
              <w:t>Why It Matters</w:t>
            </w:r>
          </w:p>
        </w:tc>
        <w:tc>
          <w:tcPr>
            <w:tcW w:w="3530" w:type="dxa"/>
            <w:shd w:val="clear" w:color="auto" w:fill="0F3557"/>
          </w:tcPr>
          <w:p w14:paraId="0187B5D1" w14:textId="77777777" w:rsidR="009475A0" w:rsidRPr="00AD6E5C" w:rsidRDefault="00000000">
            <w:pPr>
              <w:rPr>
                <w:rFonts w:ascii="Tajawal" w:hAnsi="Tajawal" w:cs="Tajawal" w:hint="cs"/>
              </w:rPr>
            </w:pPr>
            <w:r w:rsidRPr="00AD6E5C">
              <w:rPr>
                <w:rFonts w:ascii="Tajawal" w:hAnsi="Tajawal" w:cs="Tajawal" w:hint="cs"/>
                <w:b/>
                <w:color w:val="FFFFFF"/>
              </w:rPr>
              <w:t>Mitigation / Next Evidence</w:t>
            </w:r>
          </w:p>
        </w:tc>
      </w:tr>
      <w:tr w:rsidR="009475A0" w:rsidRPr="00AD6E5C" w14:paraId="3789C587" w14:textId="77777777">
        <w:tc>
          <w:tcPr>
            <w:tcW w:w="2300" w:type="dxa"/>
            <w:shd w:val="clear" w:color="auto" w:fill="FFFFFF"/>
          </w:tcPr>
          <w:p w14:paraId="6F45EEC6" w14:textId="77777777" w:rsidR="009475A0" w:rsidRPr="00AD6E5C" w:rsidRDefault="00000000">
            <w:pPr>
              <w:rPr>
                <w:rFonts w:ascii="Tajawal" w:hAnsi="Tajawal" w:cs="Tajawal" w:hint="cs"/>
              </w:rPr>
            </w:pPr>
            <w:r w:rsidRPr="00AD6E5C">
              <w:rPr>
                <w:rFonts w:ascii="Tajawal" w:hAnsi="Tajawal" w:cs="Tajawal" w:hint="cs"/>
              </w:rPr>
              <w:t>Bilateral corridor data gap</w:t>
            </w:r>
          </w:p>
        </w:tc>
        <w:tc>
          <w:tcPr>
            <w:tcW w:w="3530" w:type="dxa"/>
            <w:shd w:val="clear" w:color="auto" w:fill="FFFFFF"/>
          </w:tcPr>
          <w:p w14:paraId="68E612FF" w14:textId="77777777" w:rsidR="009475A0" w:rsidRPr="00AD6E5C" w:rsidRDefault="00000000">
            <w:pPr>
              <w:rPr>
                <w:rFonts w:ascii="Tajawal" w:hAnsi="Tajawal" w:cs="Tajawal" w:hint="cs"/>
              </w:rPr>
            </w:pPr>
            <w:r w:rsidRPr="00AD6E5C">
              <w:rPr>
                <w:rFonts w:ascii="Tajawal" w:hAnsi="Tajawal" w:cs="Tajawal" w:hint="cs"/>
              </w:rPr>
              <w:t>Country-level allocation is modeled because full bilateral annual disclosures are not consistently available.</w:t>
            </w:r>
          </w:p>
        </w:tc>
        <w:tc>
          <w:tcPr>
            <w:tcW w:w="3530" w:type="dxa"/>
            <w:shd w:val="clear" w:color="auto" w:fill="FFFFFF"/>
          </w:tcPr>
          <w:p w14:paraId="5D739E38" w14:textId="77777777" w:rsidR="009475A0" w:rsidRPr="00AD6E5C" w:rsidRDefault="00000000">
            <w:pPr>
              <w:rPr>
                <w:rFonts w:ascii="Tajawal" w:hAnsi="Tajawal" w:cs="Tajawal" w:hint="cs"/>
              </w:rPr>
            </w:pPr>
            <w:r w:rsidRPr="00AD6E5C">
              <w:rPr>
                <w:rFonts w:ascii="Tajawal" w:hAnsi="Tajawal" w:cs="Tajawal" w:hint="cs"/>
              </w:rPr>
              <w:t>Replace modeled shares with direct bilateral disclosures where available.</w:t>
            </w:r>
          </w:p>
        </w:tc>
      </w:tr>
      <w:tr w:rsidR="009475A0" w:rsidRPr="00AD6E5C" w14:paraId="63B8A145" w14:textId="77777777">
        <w:tc>
          <w:tcPr>
            <w:tcW w:w="2300" w:type="dxa"/>
            <w:shd w:val="clear" w:color="auto" w:fill="F8FBFD"/>
          </w:tcPr>
          <w:p w14:paraId="3B6B9732" w14:textId="77777777" w:rsidR="009475A0" w:rsidRPr="00AD6E5C" w:rsidRDefault="00000000">
            <w:pPr>
              <w:rPr>
                <w:rFonts w:ascii="Tajawal" w:hAnsi="Tajawal" w:cs="Tajawal" w:hint="cs"/>
              </w:rPr>
            </w:pPr>
            <w:r w:rsidRPr="00AD6E5C">
              <w:rPr>
                <w:rFonts w:ascii="Tajawal" w:hAnsi="Tajawal" w:cs="Tajawal" w:hint="cs"/>
              </w:rPr>
              <w:t>Capture rate uncertainty</w:t>
            </w:r>
          </w:p>
        </w:tc>
        <w:tc>
          <w:tcPr>
            <w:tcW w:w="3530" w:type="dxa"/>
            <w:shd w:val="clear" w:color="auto" w:fill="F8FBFD"/>
          </w:tcPr>
          <w:p w14:paraId="29943A1F" w14:textId="77777777" w:rsidR="009475A0" w:rsidRPr="00AD6E5C" w:rsidRDefault="00000000">
            <w:pPr>
              <w:rPr>
                <w:rFonts w:ascii="Tajawal" w:hAnsi="Tajawal" w:cs="Tajawal" w:hint="cs"/>
              </w:rPr>
            </w:pPr>
            <w:r w:rsidRPr="00AD6E5C">
              <w:rPr>
                <w:rFonts w:ascii="Tajawal" w:hAnsi="Tajawal" w:cs="Tajawal" w:hint="cs"/>
              </w:rPr>
              <w:t>Small changes in TAM capture can materially affect revenue and valuation.</w:t>
            </w:r>
          </w:p>
        </w:tc>
        <w:tc>
          <w:tcPr>
            <w:tcW w:w="3530" w:type="dxa"/>
            <w:shd w:val="clear" w:color="auto" w:fill="F8FBFD"/>
          </w:tcPr>
          <w:p w14:paraId="368692C0" w14:textId="77777777" w:rsidR="009475A0" w:rsidRPr="00AD6E5C" w:rsidRDefault="00000000">
            <w:pPr>
              <w:rPr>
                <w:rFonts w:ascii="Tajawal" w:hAnsi="Tajawal" w:cs="Tajawal" w:hint="cs"/>
              </w:rPr>
            </w:pPr>
            <w:r w:rsidRPr="00AD6E5C">
              <w:rPr>
                <w:rFonts w:ascii="Tajawal" w:hAnsi="Tajawal" w:cs="Tajawal" w:hint="cs"/>
              </w:rPr>
              <w:t>Run pilot cohorts and compare actual capture against model assumptions.</w:t>
            </w:r>
          </w:p>
        </w:tc>
      </w:tr>
      <w:tr w:rsidR="009475A0" w:rsidRPr="00AD6E5C" w14:paraId="1CF52205" w14:textId="77777777">
        <w:tc>
          <w:tcPr>
            <w:tcW w:w="2300" w:type="dxa"/>
            <w:shd w:val="clear" w:color="auto" w:fill="FFFFFF"/>
          </w:tcPr>
          <w:p w14:paraId="3D0FC5E2" w14:textId="77777777" w:rsidR="009475A0" w:rsidRPr="00AD6E5C" w:rsidRDefault="00000000">
            <w:pPr>
              <w:rPr>
                <w:rFonts w:ascii="Tajawal" w:hAnsi="Tajawal" w:cs="Tajawal" w:hint="cs"/>
              </w:rPr>
            </w:pPr>
            <w:r w:rsidRPr="00AD6E5C">
              <w:rPr>
                <w:rFonts w:ascii="Tajawal" w:hAnsi="Tajawal" w:cs="Tajawal" w:hint="cs"/>
              </w:rPr>
              <w:t>Credit performance uncertainty</w:t>
            </w:r>
          </w:p>
        </w:tc>
        <w:tc>
          <w:tcPr>
            <w:tcW w:w="3530" w:type="dxa"/>
            <w:shd w:val="clear" w:color="auto" w:fill="FFFFFF"/>
          </w:tcPr>
          <w:p w14:paraId="21274592" w14:textId="77777777" w:rsidR="009475A0" w:rsidRPr="00AD6E5C" w:rsidRDefault="00000000">
            <w:pPr>
              <w:rPr>
                <w:rFonts w:ascii="Tajawal" w:hAnsi="Tajawal" w:cs="Tajawal" w:hint="cs"/>
              </w:rPr>
            </w:pPr>
            <w:r w:rsidRPr="00AD6E5C">
              <w:rPr>
                <w:rFonts w:ascii="Tajawal" w:hAnsi="Tajawal" w:cs="Tajawal" w:hint="cs"/>
              </w:rPr>
              <w:t>SNPL economics depend on approval quality, repayment, fraud, and recovery.</w:t>
            </w:r>
          </w:p>
        </w:tc>
        <w:tc>
          <w:tcPr>
            <w:tcW w:w="3530" w:type="dxa"/>
            <w:shd w:val="clear" w:color="auto" w:fill="FFFFFF"/>
          </w:tcPr>
          <w:p w14:paraId="7AA4BD0A" w14:textId="77777777" w:rsidR="009475A0" w:rsidRPr="00AD6E5C" w:rsidRDefault="00000000">
            <w:pPr>
              <w:rPr>
                <w:rFonts w:ascii="Tajawal" w:hAnsi="Tajawal" w:cs="Tajawal" w:hint="cs"/>
              </w:rPr>
            </w:pPr>
            <w:r w:rsidRPr="00AD6E5C">
              <w:rPr>
                <w:rFonts w:ascii="Tajawal" w:hAnsi="Tajawal" w:cs="Tajawal" w:hint="cs"/>
              </w:rPr>
              <w:t>Build underwriting sandbox and track repayment cohorts before scaling.</w:t>
            </w:r>
          </w:p>
        </w:tc>
      </w:tr>
      <w:tr w:rsidR="009475A0" w:rsidRPr="00AD6E5C" w14:paraId="227C47D5" w14:textId="77777777">
        <w:tc>
          <w:tcPr>
            <w:tcW w:w="2300" w:type="dxa"/>
            <w:shd w:val="clear" w:color="auto" w:fill="F8FBFD"/>
          </w:tcPr>
          <w:p w14:paraId="0326D730" w14:textId="77777777" w:rsidR="009475A0" w:rsidRPr="00AD6E5C" w:rsidRDefault="00000000">
            <w:pPr>
              <w:rPr>
                <w:rFonts w:ascii="Tajawal" w:hAnsi="Tajawal" w:cs="Tajawal" w:hint="cs"/>
              </w:rPr>
            </w:pPr>
            <w:r w:rsidRPr="00AD6E5C">
              <w:rPr>
                <w:rFonts w:ascii="Tajawal" w:hAnsi="Tajawal" w:cs="Tajawal" w:hint="cs"/>
              </w:rPr>
              <w:t>Regulatory and licensing risk</w:t>
            </w:r>
          </w:p>
        </w:tc>
        <w:tc>
          <w:tcPr>
            <w:tcW w:w="3530" w:type="dxa"/>
            <w:shd w:val="clear" w:color="auto" w:fill="F8FBFD"/>
          </w:tcPr>
          <w:p w14:paraId="0419F6DA" w14:textId="77777777" w:rsidR="009475A0" w:rsidRPr="00AD6E5C" w:rsidRDefault="00000000">
            <w:pPr>
              <w:rPr>
                <w:rFonts w:ascii="Tajawal" w:hAnsi="Tajawal" w:cs="Tajawal" w:hint="cs"/>
              </w:rPr>
            </w:pPr>
            <w:r w:rsidRPr="00AD6E5C">
              <w:rPr>
                <w:rFonts w:ascii="Tajawal" w:hAnsi="Tajawal" w:cs="Tajawal" w:hint="cs"/>
              </w:rPr>
              <w:t>License timing, product structure, and partner permissions may affect launch.</w:t>
            </w:r>
          </w:p>
        </w:tc>
        <w:tc>
          <w:tcPr>
            <w:tcW w:w="3530" w:type="dxa"/>
            <w:shd w:val="clear" w:color="auto" w:fill="F8FBFD"/>
          </w:tcPr>
          <w:p w14:paraId="731FB554" w14:textId="77777777" w:rsidR="009475A0" w:rsidRPr="00AD6E5C" w:rsidRDefault="00000000">
            <w:pPr>
              <w:rPr>
                <w:rFonts w:ascii="Tajawal" w:hAnsi="Tajawal" w:cs="Tajawal" w:hint="cs"/>
              </w:rPr>
            </w:pPr>
            <w:r w:rsidRPr="00AD6E5C">
              <w:rPr>
                <w:rFonts w:ascii="Tajawal" w:hAnsi="Tajawal" w:cs="Tajawal" w:hint="cs"/>
              </w:rPr>
              <w:t>Obtain regulatory counsel memo and licensing roadmap.</w:t>
            </w:r>
          </w:p>
        </w:tc>
      </w:tr>
      <w:tr w:rsidR="009475A0" w:rsidRPr="00AD6E5C" w14:paraId="7F348D64" w14:textId="77777777">
        <w:tc>
          <w:tcPr>
            <w:tcW w:w="2300" w:type="dxa"/>
            <w:shd w:val="clear" w:color="auto" w:fill="FFFFFF"/>
          </w:tcPr>
          <w:p w14:paraId="14DC6D01" w14:textId="77777777" w:rsidR="009475A0" w:rsidRPr="00AD6E5C" w:rsidRDefault="00000000">
            <w:pPr>
              <w:rPr>
                <w:rFonts w:ascii="Tajawal" w:hAnsi="Tajawal" w:cs="Tajawal" w:hint="cs"/>
              </w:rPr>
            </w:pPr>
            <w:r w:rsidRPr="00AD6E5C">
              <w:rPr>
                <w:rFonts w:ascii="Tajawal" w:hAnsi="Tajawal" w:cs="Tajawal" w:hint="cs"/>
              </w:rPr>
              <w:lastRenderedPageBreak/>
              <w:t>Cost calibration risk</w:t>
            </w:r>
          </w:p>
        </w:tc>
        <w:tc>
          <w:tcPr>
            <w:tcW w:w="3530" w:type="dxa"/>
            <w:shd w:val="clear" w:color="auto" w:fill="FFFFFF"/>
          </w:tcPr>
          <w:p w14:paraId="674E82CC" w14:textId="77777777" w:rsidR="009475A0" w:rsidRPr="00AD6E5C" w:rsidRDefault="00000000">
            <w:pPr>
              <w:rPr>
                <w:rFonts w:ascii="Tajawal" w:hAnsi="Tajawal" w:cs="Tajawal" w:hint="cs"/>
              </w:rPr>
            </w:pPr>
            <w:r w:rsidRPr="00AD6E5C">
              <w:rPr>
                <w:rFonts w:ascii="Tajawal" w:hAnsi="Tajawal" w:cs="Tajawal" w:hint="cs"/>
              </w:rPr>
              <w:t>Vendor, API, cybersecurity, audit, and legal costs are still estimates.</w:t>
            </w:r>
          </w:p>
        </w:tc>
        <w:tc>
          <w:tcPr>
            <w:tcW w:w="3530" w:type="dxa"/>
            <w:shd w:val="clear" w:color="auto" w:fill="FFFFFF"/>
          </w:tcPr>
          <w:p w14:paraId="49FCB83B" w14:textId="77777777" w:rsidR="009475A0" w:rsidRPr="00AD6E5C" w:rsidRDefault="00000000">
            <w:pPr>
              <w:rPr>
                <w:rFonts w:ascii="Tajawal" w:hAnsi="Tajawal" w:cs="Tajawal" w:hint="cs"/>
              </w:rPr>
            </w:pPr>
            <w:r w:rsidRPr="00AD6E5C">
              <w:rPr>
                <w:rFonts w:ascii="Tajawal" w:hAnsi="Tajawal" w:cs="Tajawal" w:hint="cs"/>
              </w:rPr>
              <w:t>Collect vendor quotes and update the cost model before investor close.</w:t>
            </w:r>
          </w:p>
        </w:tc>
      </w:tr>
    </w:tbl>
    <w:p w14:paraId="1E212CFE" w14:textId="77777777" w:rsidR="009475A0" w:rsidRPr="00AD6E5C" w:rsidRDefault="00000000">
      <w:pPr>
        <w:pStyle w:val="Heading1"/>
        <w:rPr>
          <w:rFonts w:ascii="Tajawal" w:hAnsi="Tajawal" w:cs="Tajawal" w:hint="cs"/>
        </w:rPr>
      </w:pPr>
      <w:r w:rsidRPr="00AD6E5C">
        <w:rPr>
          <w:rFonts w:ascii="Tajawal" w:hAnsi="Tajawal" w:cs="Tajawal" w:hint="cs"/>
        </w:rPr>
        <w:t>13. Investor Interpretation Guidance</w:t>
      </w:r>
    </w:p>
    <w:p w14:paraId="31114F6C" w14:textId="77777777" w:rsidR="00AD6E5C" w:rsidRDefault="00000000" w:rsidP="00AD6E5C">
      <w:pPr>
        <w:pStyle w:val="ListParagraph"/>
        <w:numPr>
          <w:ilvl w:val="0"/>
          <w:numId w:val="4"/>
        </w:numPr>
        <w:rPr>
          <w:rFonts w:ascii="Tajawal" w:hAnsi="Tajawal" w:cs="Tajawal"/>
        </w:rPr>
      </w:pPr>
      <w:r w:rsidRPr="00AD6E5C">
        <w:rPr>
          <w:rFonts w:ascii="Tajawal" w:hAnsi="Tajawal" w:cs="Tajawal" w:hint="cs"/>
        </w:rPr>
        <w:t>Use the base valuation as a discussion anchor, not a fixed price. The USD 23.2M indication is reasonable only if investors accept platform-revenue valuation logic.</w:t>
      </w:r>
    </w:p>
    <w:p w14:paraId="10BB1C64" w14:textId="77777777" w:rsidR="00AD6E5C" w:rsidRDefault="00000000" w:rsidP="00AD6E5C">
      <w:pPr>
        <w:pStyle w:val="ListParagraph"/>
        <w:numPr>
          <w:ilvl w:val="0"/>
          <w:numId w:val="4"/>
        </w:numPr>
        <w:rPr>
          <w:rFonts w:ascii="Tajawal" w:hAnsi="Tajawal" w:cs="Tajawal"/>
        </w:rPr>
      </w:pPr>
      <w:r w:rsidRPr="00AD6E5C">
        <w:rPr>
          <w:rFonts w:ascii="Tajawal" w:hAnsi="Tajawal" w:cs="Tajawal" w:hint="cs"/>
        </w:rPr>
        <w:t>Use the optimized-cost case as the management plan. The cost optimization tab improves the valuation case by showing stronger burn control and a clearer path toward break-even.</w:t>
      </w:r>
    </w:p>
    <w:p w14:paraId="663B688C" w14:textId="77777777" w:rsidR="00AD6E5C" w:rsidRDefault="00000000" w:rsidP="00AD6E5C">
      <w:pPr>
        <w:pStyle w:val="ListParagraph"/>
        <w:numPr>
          <w:ilvl w:val="0"/>
          <w:numId w:val="4"/>
        </w:numPr>
        <w:rPr>
          <w:rFonts w:ascii="Tajawal" w:hAnsi="Tajawal" w:cs="Tajawal"/>
        </w:rPr>
      </w:pPr>
      <w:r w:rsidRPr="00AD6E5C">
        <w:rPr>
          <w:rFonts w:ascii="Tajawal" w:hAnsi="Tajawal" w:cs="Tajawal" w:hint="cs"/>
        </w:rPr>
        <w:t>Do not ignore the negative DCF. It is a real signal that the company needs staged funding, milestone discipline, and evidence from pilot results.</w:t>
      </w:r>
    </w:p>
    <w:p w14:paraId="626ABFAA" w14:textId="77777777" w:rsidR="00AD6E5C" w:rsidRDefault="00000000" w:rsidP="00AD6E5C">
      <w:pPr>
        <w:pStyle w:val="ListParagraph"/>
        <w:numPr>
          <w:ilvl w:val="0"/>
          <w:numId w:val="4"/>
        </w:numPr>
        <w:rPr>
          <w:rFonts w:ascii="Tajawal" w:hAnsi="Tajawal" w:cs="Tajawal"/>
        </w:rPr>
      </w:pPr>
      <w:r w:rsidRPr="00AD6E5C">
        <w:rPr>
          <w:rFonts w:ascii="Tajawal" w:hAnsi="Tajawal" w:cs="Tajawal" w:hint="cs"/>
        </w:rPr>
        <w:t>Prioritize evidence before valuation expansion. The next valuation uplift should come from real conversion, repayment, partner activation, and cost data.</w:t>
      </w:r>
    </w:p>
    <w:p w14:paraId="58F44FD1" w14:textId="59DBDAEE" w:rsidR="009475A0" w:rsidRPr="00AD6E5C" w:rsidRDefault="00000000" w:rsidP="00AD6E5C">
      <w:pPr>
        <w:pStyle w:val="ListParagraph"/>
        <w:numPr>
          <w:ilvl w:val="0"/>
          <w:numId w:val="4"/>
        </w:numPr>
        <w:rPr>
          <w:rFonts w:ascii="Tajawal" w:hAnsi="Tajawal" w:cs="Tajawal" w:hint="cs"/>
        </w:rPr>
      </w:pPr>
      <w:r w:rsidRPr="00AD6E5C">
        <w:rPr>
          <w:rFonts w:ascii="Tajawal" w:hAnsi="Tajawal" w:cs="Tajawal" w:hint="cs"/>
        </w:rPr>
        <w:t>Frame the investment as a staged opportunity. A first round should fund controlled corridor launch, partner integration, risk controls, and validated unit economics.</w:t>
      </w:r>
    </w:p>
    <w:p w14:paraId="2FA6DDB8" w14:textId="77777777" w:rsidR="009475A0" w:rsidRPr="00AD6E5C" w:rsidRDefault="00000000">
      <w:pPr>
        <w:pStyle w:val="Heading1"/>
        <w:rPr>
          <w:rFonts w:ascii="Tajawal" w:hAnsi="Tajawal" w:cs="Tajawal" w:hint="cs"/>
        </w:rPr>
      </w:pPr>
      <w:r w:rsidRPr="00AD6E5C">
        <w:rPr>
          <w:rFonts w:ascii="Tajawal" w:hAnsi="Tajawal" w:cs="Tajawal" w:hint="cs"/>
        </w:rPr>
        <w:t>14. Potential Upside Levers</w:t>
      </w:r>
    </w:p>
    <w:p w14:paraId="497F63B9" w14:textId="77777777" w:rsidR="00AD6E5C" w:rsidRDefault="00000000" w:rsidP="00AD6E5C">
      <w:pPr>
        <w:pStyle w:val="ListParagraph"/>
        <w:numPr>
          <w:ilvl w:val="0"/>
          <w:numId w:val="5"/>
        </w:numPr>
        <w:rPr>
          <w:rFonts w:ascii="Tajawal" w:hAnsi="Tajawal" w:cs="Tajawal"/>
        </w:rPr>
      </w:pPr>
      <w:r w:rsidRPr="00AD6E5C">
        <w:rPr>
          <w:rFonts w:ascii="Tajawal" w:hAnsi="Tajawal" w:cs="Tajawal" w:hint="cs"/>
        </w:rPr>
        <w:t>Higher corridor capture from priority GCC-to-Egypt corridors.</w:t>
      </w:r>
    </w:p>
    <w:p w14:paraId="77F258F1" w14:textId="77777777" w:rsidR="00AD6E5C" w:rsidRDefault="00000000" w:rsidP="00AD6E5C">
      <w:pPr>
        <w:pStyle w:val="ListParagraph"/>
        <w:numPr>
          <w:ilvl w:val="0"/>
          <w:numId w:val="5"/>
        </w:numPr>
        <w:rPr>
          <w:rFonts w:ascii="Tajawal" w:hAnsi="Tajawal" w:cs="Tajawal"/>
        </w:rPr>
      </w:pPr>
      <w:r w:rsidRPr="00AD6E5C">
        <w:rPr>
          <w:rFonts w:ascii="Tajawal" w:hAnsi="Tajawal" w:cs="Tajawal" w:hint="cs"/>
        </w:rPr>
        <w:t>Lower customer acquisition cost through MTO, exchange-house, bank, and employer partnerships.</w:t>
      </w:r>
    </w:p>
    <w:p w14:paraId="5A76D915" w14:textId="77777777" w:rsidR="00AD6E5C" w:rsidRDefault="00000000" w:rsidP="00AD6E5C">
      <w:pPr>
        <w:pStyle w:val="ListParagraph"/>
        <w:numPr>
          <w:ilvl w:val="0"/>
          <w:numId w:val="5"/>
        </w:numPr>
        <w:rPr>
          <w:rFonts w:ascii="Tajawal" w:hAnsi="Tajawal" w:cs="Tajawal"/>
        </w:rPr>
      </w:pPr>
      <w:r w:rsidRPr="00AD6E5C">
        <w:rPr>
          <w:rFonts w:ascii="Tajawal" w:hAnsi="Tajawal" w:cs="Tajawal" w:hint="cs"/>
        </w:rPr>
        <w:t>Better SNPL approval conversion without increasing expected credit loss.</w:t>
      </w:r>
    </w:p>
    <w:p w14:paraId="7FDCFD83" w14:textId="77777777" w:rsidR="00AD6E5C" w:rsidRDefault="00000000" w:rsidP="00AD6E5C">
      <w:pPr>
        <w:pStyle w:val="ListParagraph"/>
        <w:numPr>
          <w:ilvl w:val="0"/>
          <w:numId w:val="5"/>
        </w:numPr>
        <w:rPr>
          <w:rFonts w:ascii="Tajawal" w:hAnsi="Tajawal" w:cs="Tajawal"/>
        </w:rPr>
      </w:pPr>
      <w:r w:rsidRPr="00AD6E5C">
        <w:rPr>
          <w:rFonts w:ascii="Tajawal" w:hAnsi="Tajawal" w:cs="Tajawal" w:hint="cs"/>
        </w:rPr>
        <w:t>Improved repayment behavior and lower fraud loss after live underwriting data.</w:t>
      </w:r>
    </w:p>
    <w:p w14:paraId="4015BDD5" w14:textId="77777777" w:rsidR="00AD6E5C" w:rsidRDefault="00000000" w:rsidP="00AD6E5C">
      <w:pPr>
        <w:pStyle w:val="ListParagraph"/>
        <w:numPr>
          <w:ilvl w:val="0"/>
          <w:numId w:val="5"/>
        </w:numPr>
        <w:rPr>
          <w:rFonts w:ascii="Tajawal" w:hAnsi="Tajawal" w:cs="Tajawal"/>
        </w:rPr>
      </w:pPr>
      <w:r w:rsidRPr="00AD6E5C">
        <w:rPr>
          <w:rFonts w:ascii="Tajawal" w:hAnsi="Tajawal" w:cs="Tajawal" w:hint="cs"/>
        </w:rPr>
        <w:t>Lower processing cost through automation and preferred payout/settlement rails.</w:t>
      </w:r>
    </w:p>
    <w:p w14:paraId="18CF873A" w14:textId="3CBD2A8A" w:rsidR="009475A0" w:rsidRPr="00AD6E5C" w:rsidRDefault="00000000" w:rsidP="00AD6E5C">
      <w:pPr>
        <w:pStyle w:val="ListParagraph"/>
        <w:numPr>
          <w:ilvl w:val="0"/>
          <w:numId w:val="5"/>
        </w:numPr>
        <w:rPr>
          <w:rFonts w:ascii="Tajawal" w:hAnsi="Tajawal" w:cs="Tajawal" w:hint="cs"/>
        </w:rPr>
      </w:pPr>
      <w:r w:rsidRPr="00AD6E5C">
        <w:rPr>
          <w:rFonts w:ascii="Tajawal" w:hAnsi="Tajawal" w:cs="Tajawal" w:hint="cs"/>
        </w:rPr>
        <w:t>Expansion from Egypt-only into additional receive markets after regulatory validation.</w:t>
      </w:r>
    </w:p>
    <w:p w14:paraId="6C837A8F" w14:textId="77777777" w:rsidR="009475A0" w:rsidRPr="00AD6E5C" w:rsidRDefault="00000000">
      <w:pPr>
        <w:pStyle w:val="Heading1"/>
        <w:rPr>
          <w:rFonts w:ascii="Tajawal" w:hAnsi="Tajawal" w:cs="Tajawal" w:hint="cs"/>
        </w:rPr>
      </w:pPr>
      <w:r w:rsidRPr="00AD6E5C">
        <w:rPr>
          <w:rFonts w:ascii="Tajawal" w:hAnsi="Tajawal" w:cs="Tajawal" w:hint="cs"/>
        </w:rPr>
        <w:t>15. Recommended Investor Due Diligence Checklist</w:t>
      </w:r>
    </w:p>
    <w:p w14:paraId="0F87E081" w14:textId="77777777" w:rsidR="00AD6E5C" w:rsidRDefault="00000000" w:rsidP="00AD6E5C">
      <w:pPr>
        <w:pStyle w:val="ListParagraph"/>
        <w:numPr>
          <w:ilvl w:val="0"/>
          <w:numId w:val="6"/>
        </w:numPr>
        <w:rPr>
          <w:rFonts w:ascii="Tajawal" w:hAnsi="Tajawal" w:cs="Tajawal"/>
        </w:rPr>
      </w:pPr>
      <w:r w:rsidRPr="00AD6E5C">
        <w:rPr>
          <w:rFonts w:ascii="Tajawal" w:hAnsi="Tajawal" w:cs="Tajawal" w:hint="cs"/>
        </w:rPr>
        <w:t>Validate Egypt TAM and CBE 2025 anchor.</w:t>
      </w:r>
    </w:p>
    <w:p w14:paraId="66E9E25D" w14:textId="77777777" w:rsidR="00AD6E5C" w:rsidRDefault="00000000" w:rsidP="00AD6E5C">
      <w:pPr>
        <w:pStyle w:val="ListParagraph"/>
        <w:numPr>
          <w:ilvl w:val="0"/>
          <w:numId w:val="6"/>
        </w:numPr>
        <w:rPr>
          <w:rFonts w:ascii="Tajawal" w:hAnsi="Tajawal" w:cs="Tajawal"/>
        </w:rPr>
      </w:pPr>
      <w:r w:rsidRPr="00AD6E5C">
        <w:rPr>
          <w:rFonts w:ascii="Tajawal" w:hAnsi="Tajawal" w:cs="Tajawal" w:hint="cs"/>
        </w:rPr>
        <w:t>Confirm corridor evidence and launch sequencing.</w:t>
      </w:r>
    </w:p>
    <w:p w14:paraId="7C29E36F" w14:textId="77777777" w:rsidR="00AD6E5C" w:rsidRDefault="00000000" w:rsidP="00AD6E5C">
      <w:pPr>
        <w:pStyle w:val="ListParagraph"/>
        <w:numPr>
          <w:ilvl w:val="0"/>
          <w:numId w:val="6"/>
        </w:numPr>
        <w:rPr>
          <w:rFonts w:ascii="Tajawal" w:hAnsi="Tajawal" w:cs="Tajawal"/>
        </w:rPr>
      </w:pPr>
      <w:r w:rsidRPr="00AD6E5C">
        <w:rPr>
          <w:rFonts w:ascii="Tajawal" w:hAnsi="Tajawal" w:cs="Tajawal" w:hint="cs"/>
        </w:rPr>
        <w:t>Review revenue benchmark assumptions against remittance and BNPL peers.</w:t>
      </w:r>
    </w:p>
    <w:p w14:paraId="6B3F29BF" w14:textId="77777777" w:rsidR="00AD6E5C" w:rsidRDefault="00000000" w:rsidP="00AD6E5C">
      <w:pPr>
        <w:pStyle w:val="ListParagraph"/>
        <w:numPr>
          <w:ilvl w:val="0"/>
          <w:numId w:val="6"/>
        </w:numPr>
        <w:rPr>
          <w:rFonts w:ascii="Tajawal" w:hAnsi="Tajawal" w:cs="Tajawal"/>
        </w:rPr>
      </w:pPr>
      <w:r w:rsidRPr="00AD6E5C">
        <w:rPr>
          <w:rFonts w:ascii="Tajawal" w:hAnsi="Tajawal" w:cs="Tajawal" w:hint="cs"/>
        </w:rPr>
        <w:t>Request partner pipeline evidence for MTOs, agents, creditors, banks, and payout partners.</w:t>
      </w:r>
    </w:p>
    <w:p w14:paraId="590C5D3F" w14:textId="77777777" w:rsidR="00AD6E5C" w:rsidRDefault="00000000" w:rsidP="00AD6E5C">
      <w:pPr>
        <w:pStyle w:val="ListParagraph"/>
        <w:numPr>
          <w:ilvl w:val="0"/>
          <w:numId w:val="6"/>
        </w:numPr>
        <w:rPr>
          <w:rFonts w:ascii="Tajawal" w:hAnsi="Tajawal" w:cs="Tajawal"/>
        </w:rPr>
      </w:pPr>
      <w:r w:rsidRPr="00AD6E5C">
        <w:rPr>
          <w:rFonts w:ascii="Tajawal" w:hAnsi="Tajawal" w:cs="Tajawal" w:hint="cs"/>
        </w:rPr>
        <w:t>Review regulatory pathway and required licenses.</w:t>
      </w:r>
    </w:p>
    <w:p w14:paraId="5393B09A" w14:textId="77777777" w:rsidR="00AD6E5C" w:rsidRDefault="00000000" w:rsidP="00AD6E5C">
      <w:pPr>
        <w:pStyle w:val="ListParagraph"/>
        <w:numPr>
          <w:ilvl w:val="0"/>
          <w:numId w:val="6"/>
        </w:numPr>
        <w:rPr>
          <w:rFonts w:ascii="Tajawal" w:hAnsi="Tajawal" w:cs="Tajawal"/>
        </w:rPr>
      </w:pPr>
      <w:r w:rsidRPr="00AD6E5C">
        <w:rPr>
          <w:rFonts w:ascii="Tajawal" w:hAnsi="Tajawal" w:cs="Tajawal" w:hint="cs"/>
        </w:rPr>
        <w:t>Review underwriting policy, fraud controls, ECL methodology, and collections plan.</w:t>
      </w:r>
    </w:p>
    <w:p w14:paraId="434D1B80" w14:textId="77777777" w:rsidR="00AD6E5C" w:rsidRDefault="00000000" w:rsidP="00AD6E5C">
      <w:pPr>
        <w:pStyle w:val="ListParagraph"/>
        <w:numPr>
          <w:ilvl w:val="0"/>
          <w:numId w:val="6"/>
        </w:numPr>
        <w:rPr>
          <w:rFonts w:ascii="Tajawal" w:hAnsi="Tajawal" w:cs="Tajawal"/>
        </w:rPr>
      </w:pPr>
      <w:r w:rsidRPr="00AD6E5C">
        <w:rPr>
          <w:rFonts w:ascii="Tajawal" w:hAnsi="Tajawal" w:cs="Tajawal" w:hint="cs"/>
        </w:rPr>
        <w:t>Challenge cost assumptions using vendor quotes and staffing plan.</w:t>
      </w:r>
    </w:p>
    <w:p w14:paraId="3692C498" w14:textId="77777777" w:rsidR="00AD6E5C" w:rsidRDefault="00000000" w:rsidP="00AD6E5C">
      <w:pPr>
        <w:pStyle w:val="ListParagraph"/>
        <w:numPr>
          <w:ilvl w:val="0"/>
          <w:numId w:val="6"/>
        </w:numPr>
        <w:rPr>
          <w:rFonts w:ascii="Tajawal" w:hAnsi="Tajawal" w:cs="Tajawal"/>
        </w:rPr>
      </w:pPr>
      <w:r w:rsidRPr="00AD6E5C">
        <w:rPr>
          <w:rFonts w:ascii="Tajawal" w:hAnsi="Tajawal" w:cs="Tajawal" w:hint="cs"/>
        </w:rPr>
        <w:t>Run downside sensitivity on capture rate, approval rate, ECL, CAC, and FX margin.</w:t>
      </w:r>
    </w:p>
    <w:p w14:paraId="36D102D8" w14:textId="6E546425" w:rsidR="009475A0" w:rsidRPr="00AD6E5C" w:rsidRDefault="00000000" w:rsidP="00AD6E5C">
      <w:pPr>
        <w:pStyle w:val="ListParagraph"/>
        <w:numPr>
          <w:ilvl w:val="0"/>
          <w:numId w:val="6"/>
        </w:numPr>
        <w:rPr>
          <w:rFonts w:ascii="Tajawal" w:hAnsi="Tajawal" w:cs="Tajawal" w:hint="cs"/>
        </w:rPr>
      </w:pPr>
      <w:r w:rsidRPr="00AD6E5C">
        <w:rPr>
          <w:rFonts w:ascii="Tajawal" w:hAnsi="Tajawal" w:cs="Tajawal" w:hint="cs"/>
        </w:rPr>
        <w:lastRenderedPageBreak/>
        <w:t>Use milestone-based investment tranches tied to pilot KPIs.</w:t>
      </w:r>
    </w:p>
    <w:p w14:paraId="0B66F0F6" w14:textId="77777777" w:rsidR="009475A0" w:rsidRPr="00AD6E5C" w:rsidRDefault="00000000">
      <w:pPr>
        <w:pStyle w:val="Heading1"/>
        <w:rPr>
          <w:rFonts w:ascii="Tajawal" w:hAnsi="Tajawal" w:cs="Tajawal" w:hint="cs"/>
        </w:rPr>
      </w:pPr>
      <w:r w:rsidRPr="00AD6E5C">
        <w:rPr>
          <w:rFonts w:ascii="Tajawal" w:hAnsi="Tajawal" w:cs="Tajawal" w:hint="cs"/>
        </w:rPr>
        <w:t>16. Glossary</w:t>
      </w:r>
    </w:p>
    <w:tbl>
      <w:tblPr>
        <w:tblW w:w="9360" w:type="dxa"/>
        <w:tblInd w:w="120" w:type="dxa"/>
        <w:tblBorders>
          <w:top w:val="single" w:sz="4" w:space="0" w:color="B7C9D6"/>
          <w:left w:val="single" w:sz="4" w:space="0" w:color="B7C9D6"/>
          <w:bottom w:val="single" w:sz="4" w:space="0" w:color="B7C9D6"/>
          <w:right w:val="single" w:sz="4" w:space="0" w:color="B7C9D6"/>
          <w:insideH w:val="single" w:sz="4" w:space="0" w:color="B7C9D6"/>
          <w:insideV w:val="single" w:sz="4" w:space="0" w:color="B7C9D6"/>
        </w:tblBorders>
        <w:tblLayout w:type="fixed"/>
        <w:tblCellMar>
          <w:top w:w="90" w:type="dxa"/>
          <w:left w:w="120" w:type="dxa"/>
          <w:bottom w:w="90" w:type="dxa"/>
          <w:right w:w="120" w:type="dxa"/>
        </w:tblCellMar>
        <w:tblLook w:val="0000" w:firstRow="0" w:lastRow="0" w:firstColumn="0" w:lastColumn="0" w:noHBand="0" w:noVBand="0"/>
      </w:tblPr>
      <w:tblGrid>
        <w:gridCol w:w="2200"/>
        <w:gridCol w:w="7160"/>
      </w:tblGrid>
      <w:tr w:rsidR="009475A0" w:rsidRPr="00AD6E5C" w14:paraId="2C3D0B7F" w14:textId="77777777">
        <w:tc>
          <w:tcPr>
            <w:tcW w:w="2200" w:type="dxa"/>
            <w:shd w:val="clear" w:color="auto" w:fill="0F3557"/>
          </w:tcPr>
          <w:p w14:paraId="0736D4B4" w14:textId="77777777" w:rsidR="009475A0" w:rsidRPr="00AD6E5C" w:rsidRDefault="00000000">
            <w:pPr>
              <w:rPr>
                <w:rFonts w:ascii="Tajawal" w:hAnsi="Tajawal" w:cs="Tajawal" w:hint="cs"/>
              </w:rPr>
            </w:pPr>
            <w:r w:rsidRPr="00AD6E5C">
              <w:rPr>
                <w:rFonts w:ascii="Tajawal" w:hAnsi="Tajawal" w:cs="Tajawal" w:hint="cs"/>
                <w:b/>
                <w:color w:val="FFFFFF"/>
              </w:rPr>
              <w:t>Term</w:t>
            </w:r>
          </w:p>
        </w:tc>
        <w:tc>
          <w:tcPr>
            <w:tcW w:w="7160" w:type="dxa"/>
            <w:shd w:val="clear" w:color="auto" w:fill="0F3557"/>
          </w:tcPr>
          <w:p w14:paraId="5D8AADDE" w14:textId="77777777" w:rsidR="009475A0" w:rsidRPr="00AD6E5C" w:rsidRDefault="00000000">
            <w:pPr>
              <w:rPr>
                <w:rFonts w:ascii="Tajawal" w:hAnsi="Tajawal" w:cs="Tajawal" w:hint="cs"/>
              </w:rPr>
            </w:pPr>
            <w:r w:rsidRPr="00AD6E5C">
              <w:rPr>
                <w:rFonts w:ascii="Tajawal" w:hAnsi="Tajawal" w:cs="Tajawal" w:hint="cs"/>
                <w:b/>
                <w:color w:val="FFFFFF"/>
              </w:rPr>
              <w:t>Meaning in This Model</w:t>
            </w:r>
          </w:p>
        </w:tc>
      </w:tr>
      <w:tr w:rsidR="009475A0" w:rsidRPr="00AD6E5C" w14:paraId="1D565F2F" w14:textId="77777777">
        <w:tc>
          <w:tcPr>
            <w:tcW w:w="2200" w:type="dxa"/>
            <w:shd w:val="clear" w:color="auto" w:fill="FFFFFF"/>
          </w:tcPr>
          <w:p w14:paraId="3CEEC58D" w14:textId="77777777" w:rsidR="009475A0" w:rsidRPr="00AD6E5C" w:rsidRDefault="00000000">
            <w:pPr>
              <w:rPr>
                <w:rFonts w:ascii="Tajawal" w:hAnsi="Tajawal" w:cs="Tajawal" w:hint="cs"/>
              </w:rPr>
            </w:pPr>
            <w:r w:rsidRPr="00AD6E5C">
              <w:rPr>
                <w:rFonts w:ascii="Tajawal" w:hAnsi="Tajawal" w:cs="Tajawal" w:hint="cs"/>
              </w:rPr>
              <w:t>SNPL</w:t>
            </w:r>
          </w:p>
        </w:tc>
        <w:tc>
          <w:tcPr>
            <w:tcW w:w="7160" w:type="dxa"/>
            <w:shd w:val="clear" w:color="auto" w:fill="FFFFFF"/>
          </w:tcPr>
          <w:p w14:paraId="2F1D97D4" w14:textId="77777777" w:rsidR="009475A0" w:rsidRPr="00AD6E5C" w:rsidRDefault="00000000">
            <w:pPr>
              <w:rPr>
                <w:rFonts w:ascii="Tajawal" w:hAnsi="Tajawal" w:cs="Tajawal" w:hint="cs"/>
              </w:rPr>
            </w:pPr>
            <w:r w:rsidRPr="00AD6E5C">
              <w:rPr>
                <w:rFonts w:ascii="Tajawal" w:hAnsi="Tajawal" w:cs="Tajawal" w:hint="cs"/>
              </w:rPr>
              <w:t>Send Now, Pay Later. A remittance-linked credit feature allowing eligible customers to send funds before full repayment.</w:t>
            </w:r>
          </w:p>
        </w:tc>
      </w:tr>
      <w:tr w:rsidR="009475A0" w:rsidRPr="00AD6E5C" w14:paraId="15722CB2" w14:textId="77777777">
        <w:tc>
          <w:tcPr>
            <w:tcW w:w="2200" w:type="dxa"/>
            <w:shd w:val="clear" w:color="auto" w:fill="F8FBFD"/>
          </w:tcPr>
          <w:p w14:paraId="158E4646" w14:textId="77777777" w:rsidR="009475A0" w:rsidRPr="00AD6E5C" w:rsidRDefault="00000000">
            <w:pPr>
              <w:rPr>
                <w:rFonts w:ascii="Tajawal" w:hAnsi="Tajawal" w:cs="Tajawal" w:hint="cs"/>
              </w:rPr>
            </w:pPr>
            <w:r w:rsidRPr="00AD6E5C">
              <w:rPr>
                <w:rFonts w:ascii="Tajawal" w:hAnsi="Tajawal" w:cs="Tajawal" w:hint="cs"/>
              </w:rPr>
              <w:t>TAM</w:t>
            </w:r>
          </w:p>
        </w:tc>
        <w:tc>
          <w:tcPr>
            <w:tcW w:w="7160" w:type="dxa"/>
            <w:shd w:val="clear" w:color="auto" w:fill="F8FBFD"/>
          </w:tcPr>
          <w:p w14:paraId="0E2AA7C0" w14:textId="77777777" w:rsidR="009475A0" w:rsidRPr="00AD6E5C" w:rsidRDefault="00000000">
            <w:pPr>
              <w:rPr>
                <w:rFonts w:ascii="Tajawal" w:hAnsi="Tajawal" w:cs="Tajawal" w:hint="cs"/>
              </w:rPr>
            </w:pPr>
            <w:r w:rsidRPr="00AD6E5C">
              <w:rPr>
                <w:rFonts w:ascii="Tajawal" w:hAnsi="Tajawal" w:cs="Tajawal" w:hint="cs"/>
              </w:rPr>
              <w:t>Total Addressable Market. The total Egypt inbound remittance opportunity used as the market base.</w:t>
            </w:r>
          </w:p>
        </w:tc>
      </w:tr>
      <w:tr w:rsidR="009475A0" w:rsidRPr="00AD6E5C" w14:paraId="7632A7A4" w14:textId="77777777">
        <w:tc>
          <w:tcPr>
            <w:tcW w:w="2200" w:type="dxa"/>
            <w:shd w:val="clear" w:color="auto" w:fill="FFFFFF"/>
          </w:tcPr>
          <w:p w14:paraId="58296821" w14:textId="77777777" w:rsidR="009475A0" w:rsidRPr="00AD6E5C" w:rsidRDefault="00000000">
            <w:pPr>
              <w:rPr>
                <w:rFonts w:ascii="Tajawal" w:hAnsi="Tajawal" w:cs="Tajawal" w:hint="cs"/>
              </w:rPr>
            </w:pPr>
            <w:r w:rsidRPr="00AD6E5C">
              <w:rPr>
                <w:rFonts w:ascii="Tajawal" w:hAnsi="Tajawal" w:cs="Tajawal" w:hint="cs"/>
              </w:rPr>
              <w:t>Captured Volume</w:t>
            </w:r>
          </w:p>
        </w:tc>
        <w:tc>
          <w:tcPr>
            <w:tcW w:w="7160" w:type="dxa"/>
            <w:shd w:val="clear" w:color="auto" w:fill="FFFFFF"/>
          </w:tcPr>
          <w:p w14:paraId="478C8E0F" w14:textId="77777777" w:rsidR="009475A0" w:rsidRPr="00AD6E5C" w:rsidRDefault="00000000">
            <w:pPr>
              <w:rPr>
                <w:rFonts w:ascii="Tajawal" w:hAnsi="Tajawal" w:cs="Tajawal" w:hint="cs"/>
              </w:rPr>
            </w:pPr>
            <w:r w:rsidRPr="00AD6E5C">
              <w:rPr>
                <w:rFonts w:ascii="Tajawal" w:hAnsi="Tajawal" w:cs="Tajawal" w:hint="cs"/>
              </w:rPr>
              <w:t>The portion of TAM assumed to flow through CashLine based on capture-rate assumptions.</w:t>
            </w:r>
          </w:p>
        </w:tc>
      </w:tr>
      <w:tr w:rsidR="009475A0" w:rsidRPr="00AD6E5C" w14:paraId="5FB2835D" w14:textId="77777777">
        <w:tc>
          <w:tcPr>
            <w:tcW w:w="2200" w:type="dxa"/>
            <w:shd w:val="clear" w:color="auto" w:fill="F8FBFD"/>
          </w:tcPr>
          <w:p w14:paraId="105648C0" w14:textId="77777777" w:rsidR="009475A0" w:rsidRPr="00AD6E5C" w:rsidRDefault="00000000">
            <w:pPr>
              <w:rPr>
                <w:rFonts w:ascii="Tajawal" w:hAnsi="Tajawal" w:cs="Tajawal" w:hint="cs"/>
              </w:rPr>
            </w:pPr>
            <w:r w:rsidRPr="00AD6E5C">
              <w:rPr>
                <w:rFonts w:ascii="Tajawal" w:hAnsi="Tajawal" w:cs="Tajawal" w:hint="cs"/>
              </w:rPr>
              <w:t>Average Ticket</w:t>
            </w:r>
          </w:p>
        </w:tc>
        <w:tc>
          <w:tcPr>
            <w:tcW w:w="7160" w:type="dxa"/>
            <w:shd w:val="clear" w:color="auto" w:fill="F8FBFD"/>
          </w:tcPr>
          <w:p w14:paraId="59319F20" w14:textId="77777777" w:rsidR="009475A0" w:rsidRPr="00AD6E5C" w:rsidRDefault="00000000">
            <w:pPr>
              <w:rPr>
                <w:rFonts w:ascii="Tajawal" w:hAnsi="Tajawal" w:cs="Tajawal" w:hint="cs"/>
              </w:rPr>
            </w:pPr>
            <w:r w:rsidRPr="00AD6E5C">
              <w:rPr>
                <w:rFonts w:ascii="Tajawal" w:hAnsi="Tajawal" w:cs="Tajawal" w:hint="cs"/>
              </w:rPr>
              <w:t>Average transaction size used to convert captured volume into transaction count.</w:t>
            </w:r>
          </w:p>
        </w:tc>
      </w:tr>
      <w:tr w:rsidR="009475A0" w:rsidRPr="00AD6E5C" w14:paraId="645FB6B7" w14:textId="77777777">
        <w:tc>
          <w:tcPr>
            <w:tcW w:w="2200" w:type="dxa"/>
            <w:shd w:val="clear" w:color="auto" w:fill="FFFFFF"/>
          </w:tcPr>
          <w:p w14:paraId="5E666079" w14:textId="77777777" w:rsidR="009475A0" w:rsidRPr="00AD6E5C" w:rsidRDefault="00000000">
            <w:pPr>
              <w:rPr>
                <w:rFonts w:ascii="Tajawal" w:hAnsi="Tajawal" w:cs="Tajawal" w:hint="cs"/>
              </w:rPr>
            </w:pPr>
            <w:r w:rsidRPr="00AD6E5C">
              <w:rPr>
                <w:rFonts w:ascii="Tajawal" w:hAnsi="Tajawal" w:cs="Tajawal" w:hint="cs"/>
              </w:rPr>
              <w:t>SNPL Penetration</w:t>
            </w:r>
          </w:p>
        </w:tc>
        <w:tc>
          <w:tcPr>
            <w:tcW w:w="7160" w:type="dxa"/>
            <w:shd w:val="clear" w:color="auto" w:fill="FFFFFF"/>
          </w:tcPr>
          <w:p w14:paraId="188FEC0F" w14:textId="77777777" w:rsidR="009475A0" w:rsidRPr="00AD6E5C" w:rsidRDefault="00000000">
            <w:pPr>
              <w:rPr>
                <w:rFonts w:ascii="Tajawal" w:hAnsi="Tajawal" w:cs="Tajawal" w:hint="cs"/>
              </w:rPr>
            </w:pPr>
            <w:r w:rsidRPr="00AD6E5C">
              <w:rPr>
                <w:rFonts w:ascii="Tajawal" w:hAnsi="Tajawal" w:cs="Tajawal" w:hint="cs"/>
              </w:rPr>
              <w:t>Share of transactions assumed to request or use SNPL.</w:t>
            </w:r>
          </w:p>
        </w:tc>
      </w:tr>
      <w:tr w:rsidR="009475A0" w:rsidRPr="00AD6E5C" w14:paraId="2D0C6351" w14:textId="77777777">
        <w:tc>
          <w:tcPr>
            <w:tcW w:w="2200" w:type="dxa"/>
            <w:shd w:val="clear" w:color="auto" w:fill="F8FBFD"/>
          </w:tcPr>
          <w:p w14:paraId="46F17E52" w14:textId="77777777" w:rsidR="009475A0" w:rsidRPr="00AD6E5C" w:rsidRDefault="00000000">
            <w:pPr>
              <w:rPr>
                <w:rFonts w:ascii="Tajawal" w:hAnsi="Tajawal" w:cs="Tajawal" w:hint="cs"/>
              </w:rPr>
            </w:pPr>
            <w:r w:rsidRPr="00AD6E5C">
              <w:rPr>
                <w:rFonts w:ascii="Tajawal" w:hAnsi="Tajawal" w:cs="Tajawal" w:hint="cs"/>
              </w:rPr>
              <w:t>Approval Rate</w:t>
            </w:r>
          </w:p>
        </w:tc>
        <w:tc>
          <w:tcPr>
            <w:tcW w:w="7160" w:type="dxa"/>
            <w:shd w:val="clear" w:color="auto" w:fill="F8FBFD"/>
          </w:tcPr>
          <w:p w14:paraId="3987E296" w14:textId="77777777" w:rsidR="009475A0" w:rsidRPr="00AD6E5C" w:rsidRDefault="00000000">
            <w:pPr>
              <w:rPr>
                <w:rFonts w:ascii="Tajawal" w:hAnsi="Tajawal" w:cs="Tajawal" w:hint="cs"/>
              </w:rPr>
            </w:pPr>
            <w:r w:rsidRPr="00AD6E5C">
              <w:rPr>
                <w:rFonts w:ascii="Tajawal" w:hAnsi="Tajawal" w:cs="Tajawal" w:hint="cs"/>
              </w:rPr>
              <w:t>Share of SNPL applications approved by creditors or underwriting rules.</w:t>
            </w:r>
          </w:p>
        </w:tc>
      </w:tr>
      <w:tr w:rsidR="009475A0" w:rsidRPr="00AD6E5C" w14:paraId="74DABD73" w14:textId="77777777">
        <w:tc>
          <w:tcPr>
            <w:tcW w:w="2200" w:type="dxa"/>
            <w:shd w:val="clear" w:color="auto" w:fill="FFFFFF"/>
          </w:tcPr>
          <w:p w14:paraId="4F4AF790" w14:textId="77777777" w:rsidR="009475A0" w:rsidRPr="00AD6E5C" w:rsidRDefault="00000000">
            <w:pPr>
              <w:rPr>
                <w:rFonts w:ascii="Tajawal" w:hAnsi="Tajawal" w:cs="Tajawal" w:hint="cs"/>
              </w:rPr>
            </w:pPr>
            <w:r w:rsidRPr="00AD6E5C">
              <w:rPr>
                <w:rFonts w:ascii="Tajawal" w:hAnsi="Tajawal" w:cs="Tajawal" w:hint="cs"/>
              </w:rPr>
              <w:t>ECL</w:t>
            </w:r>
          </w:p>
        </w:tc>
        <w:tc>
          <w:tcPr>
            <w:tcW w:w="7160" w:type="dxa"/>
            <w:shd w:val="clear" w:color="auto" w:fill="FFFFFF"/>
          </w:tcPr>
          <w:p w14:paraId="0A0820B0" w14:textId="77777777" w:rsidR="009475A0" w:rsidRPr="00AD6E5C" w:rsidRDefault="00000000">
            <w:pPr>
              <w:rPr>
                <w:rFonts w:ascii="Tajawal" w:hAnsi="Tajawal" w:cs="Tajawal" w:hint="cs"/>
              </w:rPr>
            </w:pPr>
            <w:r w:rsidRPr="00AD6E5C">
              <w:rPr>
                <w:rFonts w:ascii="Tajawal" w:hAnsi="Tajawal" w:cs="Tajawal" w:hint="cs"/>
              </w:rPr>
              <w:t>Expected Credit Loss. Planning estimate for credit losses on approved SNPL volume.</w:t>
            </w:r>
          </w:p>
        </w:tc>
      </w:tr>
      <w:tr w:rsidR="009475A0" w:rsidRPr="00AD6E5C" w14:paraId="0CED87D8" w14:textId="77777777">
        <w:tc>
          <w:tcPr>
            <w:tcW w:w="2200" w:type="dxa"/>
            <w:shd w:val="clear" w:color="auto" w:fill="F8FBFD"/>
          </w:tcPr>
          <w:p w14:paraId="06A2E9DB" w14:textId="77777777" w:rsidR="009475A0" w:rsidRPr="00AD6E5C" w:rsidRDefault="00000000">
            <w:pPr>
              <w:rPr>
                <w:rFonts w:ascii="Tajawal" w:hAnsi="Tajawal" w:cs="Tajawal" w:hint="cs"/>
              </w:rPr>
            </w:pPr>
            <w:r w:rsidRPr="00AD6E5C">
              <w:rPr>
                <w:rFonts w:ascii="Tajawal" w:hAnsi="Tajawal" w:cs="Tajawal" w:hint="cs"/>
              </w:rPr>
              <w:t>DCF</w:t>
            </w:r>
          </w:p>
        </w:tc>
        <w:tc>
          <w:tcPr>
            <w:tcW w:w="7160" w:type="dxa"/>
            <w:shd w:val="clear" w:color="auto" w:fill="F8FBFD"/>
          </w:tcPr>
          <w:p w14:paraId="32F21A73" w14:textId="77777777" w:rsidR="009475A0" w:rsidRPr="00AD6E5C" w:rsidRDefault="00000000">
            <w:pPr>
              <w:rPr>
                <w:rFonts w:ascii="Tajawal" w:hAnsi="Tajawal" w:cs="Tajawal" w:hint="cs"/>
              </w:rPr>
            </w:pPr>
            <w:r w:rsidRPr="00AD6E5C">
              <w:rPr>
                <w:rFonts w:ascii="Tajawal" w:hAnsi="Tajawal" w:cs="Tajawal" w:hint="cs"/>
              </w:rPr>
              <w:t>Discounted Cash Flow valuation method based on free cash flow and terminal value.</w:t>
            </w:r>
          </w:p>
        </w:tc>
      </w:tr>
      <w:tr w:rsidR="009475A0" w:rsidRPr="00AD6E5C" w14:paraId="61E3424B" w14:textId="77777777">
        <w:tc>
          <w:tcPr>
            <w:tcW w:w="2200" w:type="dxa"/>
            <w:shd w:val="clear" w:color="auto" w:fill="FFFFFF"/>
          </w:tcPr>
          <w:p w14:paraId="0F8129B0" w14:textId="77777777" w:rsidR="009475A0" w:rsidRPr="00AD6E5C" w:rsidRDefault="00000000">
            <w:pPr>
              <w:rPr>
                <w:rFonts w:ascii="Tajawal" w:hAnsi="Tajawal" w:cs="Tajawal" w:hint="cs"/>
              </w:rPr>
            </w:pPr>
            <w:r w:rsidRPr="00AD6E5C">
              <w:rPr>
                <w:rFonts w:ascii="Tajawal" w:hAnsi="Tajawal" w:cs="Tajawal" w:hint="cs"/>
              </w:rPr>
              <w:t>EV / Revenue</w:t>
            </w:r>
          </w:p>
        </w:tc>
        <w:tc>
          <w:tcPr>
            <w:tcW w:w="7160" w:type="dxa"/>
            <w:shd w:val="clear" w:color="auto" w:fill="FFFFFF"/>
          </w:tcPr>
          <w:p w14:paraId="6928EB99" w14:textId="77777777" w:rsidR="009475A0" w:rsidRPr="00AD6E5C" w:rsidRDefault="00000000">
            <w:pPr>
              <w:rPr>
                <w:rFonts w:ascii="Tajawal" w:hAnsi="Tajawal" w:cs="Tajawal" w:hint="cs"/>
              </w:rPr>
            </w:pPr>
            <w:r w:rsidRPr="00AD6E5C">
              <w:rPr>
                <w:rFonts w:ascii="Tajawal" w:hAnsi="Tajawal" w:cs="Tajawal" w:hint="cs"/>
              </w:rPr>
              <w:t>Enterprise value to revenue multiple used for platform-style valuation benchmarking.</w:t>
            </w:r>
          </w:p>
        </w:tc>
      </w:tr>
      <w:tr w:rsidR="009475A0" w:rsidRPr="00AD6E5C" w14:paraId="3B89E724" w14:textId="77777777">
        <w:tc>
          <w:tcPr>
            <w:tcW w:w="2200" w:type="dxa"/>
            <w:shd w:val="clear" w:color="auto" w:fill="F8FBFD"/>
          </w:tcPr>
          <w:p w14:paraId="66731ECC" w14:textId="77777777" w:rsidR="009475A0" w:rsidRPr="00AD6E5C" w:rsidRDefault="00000000">
            <w:pPr>
              <w:rPr>
                <w:rFonts w:ascii="Tajawal" w:hAnsi="Tajawal" w:cs="Tajawal" w:hint="cs"/>
              </w:rPr>
            </w:pPr>
            <w:r w:rsidRPr="00AD6E5C">
              <w:rPr>
                <w:rFonts w:ascii="Tajawal" w:hAnsi="Tajawal" w:cs="Tajawal" w:hint="cs"/>
              </w:rPr>
              <w:t>BEP</w:t>
            </w:r>
          </w:p>
        </w:tc>
        <w:tc>
          <w:tcPr>
            <w:tcW w:w="7160" w:type="dxa"/>
            <w:shd w:val="clear" w:color="auto" w:fill="F8FBFD"/>
          </w:tcPr>
          <w:p w14:paraId="697152FF" w14:textId="77777777" w:rsidR="009475A0" w:rsidRPr="00AD6E5C" w:rsidRDefault="00000000">
            <w:pPr>
              <w:rPr>
                <w:rFonts w:ascii="Tajawal" w:hAnsi="Tajawal" w:cs="Tajawal" w:hint="cs"/>
              </w:rPr>
            </w:pPr>
            <w:r w:rsidRPr="00AD6E5C">
              <w:rPr>
                <w:rFonts w:ascii="Tajawal" w:hAnsi="Tajawal" w:cs="Tajawal" w:hint="cs"/>
              </w:rPr>
              <w:t>Break-even point. The revenue or transaction scale required to cover costs.</w:t>
            </w:r>
          </w:p>
        </w:tc>
      </w:tr>
    </w:tbl>
    <w:p w14:paraId="34751623" w14:textId="77777777" w:rsidR="009475A0" w:rsidRPr="00AD6E5C" w:rsidRDefault="00000000">
      <w:pPr>
        <w:pStyle w:val="Heading1"/>
        <w:rPr>
          <w:rFonts w:ascii="Tajawal" w:hAnsi="Tajawal" w:cs="Tajawal" w:hint="cs"/>
        </w:rPr>
      </w:pPr>
      <w:r w:rsidRPr="00AD6E5C">
        <w:rPr>
          <w:rFonts w:ascii="Tajawal" w:hAnsi="Tajawal" w:cs="Tajawal" w:hint="cs"/>
        </w:rPr>
        <w:t>17. Conclusion</w:t>
      </w:r>
    </w:p>
    <w:p w14:paraId="0ADF1030" w14:textId="77777777" w:rsidR="009475A0" w:rsidRPr="00AD6E5C" w:rsidRDefault="00000000" w:rsidP="00AD6E5C">
      <w:pPr>
        <w:jc w:val="both"/>
        <w:rPr>
          <w:rFonts w:ascii="Tajawal" w:hAnsi="Tajawal" w:cs="Tajawal" w:hint="cs"/>
        </w:rPr>
      </w:pPr>
      <w:r w:rsidRPr="00AD6E5C">
        <w:rPr>
          <w:rFonts w:ascii="Tajawal" w:hAnsi="Tajawal" w:cs="Tajawal" w:hint="cs"/>
        </w:rPr>
        <w:t>The current model supports an indicative base-case equity value of approximately USD 23.2M, with an optimized-cost scenario indicating approximately USD 32.0M. The value is not based on near-term profitability. It is based on market potential, revenue scale, corridor opportunity, partner network optionality, and the strategic value of combining remittance with controlled credit.</w:t>
      </w:r>
    </w:p>
    <w:p w14:paraId="2A7CC241" w14:textId="77777777" w:rsidR="009475A0" w:rsidRPr="00AD6E5C" w:rsidRDefault="00000000" w:rsidP="00AD6E5C">
      <w:pPr>
        <w:jc w:val="both"/>
        <w:rPr>
          <w:rFonts w:ascii="Tajawal" w:hAnsi="Tajawal" w:cs="Tajawal" w:hint="cs"/>
        </w:rPr>
      </w:pPr>
      <w:r w:rsidRPr="00AD6E5C">
        <w:rPr>
          <w:rFonts w:ascii="Tajawal" w:hAnsi="Tajawal" w:cs="Tajawal" w:hint="cs"/>
        </w:rPr>
        <w:lastRenderedPageBreak/>
        <w:t>The model is investable as a pre-go-live framework only if the investor accepts staged execution risk. The next step should be to convert model assumptions into evidence through pilot transactions, corridor partner agreements, creditor commitments, licensing confirmation, cost quotes, repayment cohorts, and fraud/AML performance data.</w:t>
      </w:r>
    </w:p>
    <w:p w14:paraId="0F34EFAA" w14:textId="77777777" w:rsidR="009475A0" w:rsidRPr="00AD6E5C" w:rsidRDefault="00000000">
      <w:pPr>
        <w:pStyle w:val="FooterNote"/>
        <w:rPr>
          <w:rFonts w:ascii="Tajawal" w:hAnsi="Tajawal" w:cs="Tajawal" w:hint="cs"/>
        </w:rPr>
      </w:pPr>
      <w:r w:rsidRPr="00AD6E5C">
        <w:rPr>
          <w:rFonts w:ascii="Tajawal" w:hAnsi="Tajawal" w:cs="Tajawal" w:hint="cs"/>
        </w:rPr>
        <w:t>Prepared for investor and strategic planning use. This note should be read together with the workbook tabs, source sheets, and future pilot evidence. It is not an audited valuation, legal opinion, or investment recommendation.</w:t>
      </w:r>
    </w:p>
    <w:sectPr w:rsidR="009475A0" w:rsidRPr="00AD6E5C">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Tajawal">
    <w:panose1 w:val="00000500000000000000"/>
    <w:charset w:val="B2"/>
    <w:family w:val="auto"/>
    <w:pitch w:val="variable"/>
    <w:sig w:usb0="8000202F" w:usb1="9000204A" w:usb2="00000008" w:usb3="00000000" w:csb0="00000041"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D1D1C"/>
    <w:multiLevelType w:val="hybridMultilevel"/>
    <w:tmpl w:val="F718D9D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8802D40"/>
    <w:multiLevelType w:val="hybridMultilevel"/>
    <w:tmpl w:val="715078C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C72055E"/>
    <w:multiLevelType w:val="hybridMultilevel"/>
    <w:tmpl w:val="0F86C4B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B731800"/>
    <w:multiLevelType w:val="hybridMultilevel"/>
    <w:tmpl w:val="DC9C096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3D6D4C57"/>
    <w:multiLevelType w:val="singleLevel"/>
    <w:tmpl w:val="C7A45140"/>
    <w:lvl w:ilvl="0">
      <w:start w:val="1"/>
      <w:numFmt w:val="bullet"/>
      <w:lvlText w:val="•"/>
      <w:lvlJc w:val="left"/>
      <w:pPr>
        <w:tabs>
          <w:tab w:val="num" w:pos="720"/>
        </w:tabs>
        <w:ind w:left="720" w:hanging="360"/>
      </w:pPr>
      <w:rPr>
        <w:rFonts w:ascii="Arial" w:hAnsi="Arial" w:hint="default"/>
      </w:rPr>
    </w:lvl>
  </w:abstractNum>
  <w:abstractNum w:abstractNumId="5" w15:restartNumberingAfterBreak="0">
    <w:nsid w:val="4DC72059"/>
    <w:multiLevelType w:val="hybridMultilevel"/>
    <w:tmpl w:val="5E0C733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73031012"/>
    <w:multiLevelType w:val="singleLevel"/>
    <w:tmpl w:val="0409000F"/>
    <w:lvl w:ilvl="0">
      <w:start w:val="1"/>
      <w:numFmt w:val="decimal"/>
      <w:lvlText w:val="%1."/>
      <w:lvlJc w:val="left"/>
      <w:pPr>
        <w:tabs>
          <w:tab w:val="num" w:pos="720"/>
        </w:tabs>
        <w:ind w:left="720" w:hanging="360"/>
      </w:pPr>
    </w:lvl>
  </w:abstractNum>
  <w:num w:numId="1" w16cid:durableId="535311032">
    <w:abstractNumId w:val="6"/>
  </w:num>
  <w:num w:numId="2" w16cid:durableId="470094458">
    <w:abstractNumId w:val="1"/>
  </w:num>
  <w:num w:numId="3" w16cid:durableId="371736333">
    <w:abstractNumId w:val="2"/>
  </w:num>
  <w:num w:numId="4" w16cid:durableId="1203056791">
    <w:abstractNumId w:val="5"/>
  </w:num>
  <w:num w:numId="5" w16cid:durableId="1708484424">
    <w:abstractNumId w:val="0"/>
  </w:num>
  <w:num w:numId="6" w16cid:durableId="20499170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4"/>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75A0"/>
    <w:rsid w:val="0014709E"/>
    <w:rsid w:val="00800141"/>
    <w:rsid w:val="009475A0"/>
    <w:rsid w:val="00AD6E5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4:docId w14:val="7FD1CF0E"/>
  <w15:docId w15:val="{A6DE792E-BE21-604D-A44D-8D2A5A3C4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Y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0" w:line="300" w:lineRule="auto"/>
    </w:pPr>
    <w:rPr>
      <w:rFonts w:ascii="Arial" w:hAnsi="Arial"/>
      <w:color w:val="1F2933"/>
      <w:sz w:val="22"/>
    </w:rPr>
  </w:style>
  <w:style w:type="paragraph" w:styleId="Heading1">
    <w:name w:val="heading 1"/>
    <w:basedOn w:val="Normal"/>
    <w:next w:val="Normal"/>
    <w:uiPriority w:val="9"/>
    <w:qFormat/>
    <w:pPr>
      <w:keepNext/>
      <w:spacing w:before="320" w:after="100"/>
      <w:outlineLvl w:val="0"/>
    </w:pPr>
    <w:rPr>
      <w:b/>
      <w:color w:val="0F3557"/>
      <w:sz w:val="32"/>
    </w:rPr>
  </w:style>
  <w:style w:type="paragraph" w:styleId="Heading2">
    <w:name w:val="heading 2"/>
    <w:basedOn w:val="Normal"/>
    <w:next w:val="Normal"/>
    <w:uiPriority w:val="9"/>
    <w:semiHidden/>
    <w:unhideWhenUsed/>
    <w:qFormat/>
    <w:pPr>
      <w:keepNext/>
      <w:spacing w:before="220" w:after="80"/>
      <w:outlineLvl w:val="1"/>
    </w:pPr>
    <w:rPr>
      <w:b/>
      <w:color w:val="1F4E78"/>
      <w:sz w:val="26"/>
    </w:rPr>
  </w:style>
  <w:style w:type="paragraph" w:styleId="Heading3">
    <w:name w:val="heading 3"/>
    <w:basedOn w:val="Normal"/>
    <w:next w:val="Normal"/>
    <w:uiPriority w:val="9"/>
    <w:semiHidden/>
    <w:unhideWhenUsed/>
    <w:qFormat/>
    <w:pPr>
      <w:keepNext/>
      <w:spacing w:before="180" w:after="70"/>
      <w:outlineLvl w:val="2"/>
    </w:pPr>
    <w:rPr>
      <w:b/>
      <w:color w:val="1F4D78"/>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uiPriority w:val="10"/>
    <w:qFormat/>
    <w:pPr>
      <w:spacing w:after="80"/>
    </w:pPr>
    <w:rPr>
      <w:b/>
      <w:color w:val="0F3557"/>
      <w:sz w:val="48"/>
    </w:rPr>
  </w:style>
  <w:style w:type="paragraph" w:styleId="Subtitle">
    <w:name w:val="Subtitle"/>
    <w:basedOn w:val="Normal"/>
    <w:uiPriority w:val="11"/>
    <w:qFormat/>
    <w:pPr>
      <w:spacing w:after="220"/>
    </w:pPr>
    <w:rPr>
      <w:color w:val="555555"/>
      <w:sz w:val="26"/>
    </w:rPr>
  </w:style>
  <w:style w:type="paragraph" w:customStyle="1" w:styleId="Meta">
    <w:name w:val="Meta"/>
    <w:basedOn w:val="Normal"/>
    <w:pPr>
      <w:spacing w:after="220"/>
    </w:pPr>
    <w:rPr>
      <w:color w:val="46515D"/>
      <w:sz w:val="20"/>
    </w:rPr>
  </w:style>
  <w:style w:type="paragraph" w:customStyle="1" w:styleId="FooterNote">
    <w:name w:val="Footer Note"/>
    <w:basedOn w:val="Normal"/>
    <w:pPr>
      <w:spacing w:before="220" w:after="0"/>
    </w:pPr>
    <w:rPr>
      <w:color w:val="555555"/>
      <w:sz w:val="19"/>
    </w:rPr>
  </w:style>
  <w:style w:type="paragraph" w:styleId="ListParagraph">
    <w:name w:val="List Paragraph"/>
    <w:basedOn w:val="Normal"/>
    <w:uiPriority w:val="34"/>
    <w:qFormat/>
    <w:rsid w:val="00AD6E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10</Pages>
  <Words>2198</Words>
  <Characters>13656</Characters>
  <Application>Microsoft Office Word</Application>
  <DocSecurity>0</DocSecurity>
  <Lines>440</Lines>
  <Paragraphs>259</Paragraphs>
  <ScaleCrop>false</ScaleCrop>
  <Company>CashLine</Company>
  <LinksUpToDate>false</LinksUpToDate>
  <CharactersWithSpaces>15595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CashLine SNPL Valuation Model - Investor Methodology Note</dc:title>
  <dc:creator>OpenAI Codex</dc:creator>
  <cp:lastModifiedBy>Khalid Gabr</cp:lastModifiedBy>
  <cp:revision>3</cp:revision>
  <dcterms:created xsi:type="dcterms:W3CDTF">2026-05-19T19:12:00Z</dcterms:created>
  <dcterms:modified xsi:type="dcterms:W3CDTF">2026-05-20T08:57:00Z</dcterms:modified>
</cp:coreProperties>
</file>