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http://schemas.openxmlformats.org/wordprocessingml/2006/main">
  <w:body>
    <w:p>
      <w:pPr>
        <w:pStyle w:val="Title"/>
      </w:pPr>
      <w:r>
        <w:t xml:space="preserve">Investor Strategy Comparison Note</w:t>
      </w:r>
    </w:p>
    <w:p>
      <w:pPr>
        <w:pStyle w:val="Subtitle"/>
      </w:pPr>
      <w:r>
        <w:t xml:space="preserve">CashLine SNPL Strategic Direction: Egypt-Only First Market vs Global Portfolio Rollout</w:t>
      </w:r>
    </w:p>
    <w:p>
      <w:r>
        <w:rPr>
          <w:i/>
          <w:color w:val="666666"/>
        </w:rPr>
        <w:t xml:space="preserve">Workbooks compared: Egypt_SNPL_Investor_Valuation_26_31.xlsx and SNPL_Global_Portfolio_Valuation_Model_2026_2031.xlsx | Audience: investors, board, executives, strategy, finance, and risk reviewers</w:t>
      </w:r>
    </w:p>
    <w:p>
      <w:r>
        <w:rPr>
          <w:b/>
        </w:rPr>
        <w:t xml:space="preserve">Executive recommendation. CashLine should present the investment thesis as an Egypt-led global option: start operationally with Egypt as the disciplined first market, build the platform and controls so they are global-ready from day one, and unlock Morocco, Philippines, India, and Indonesia only after milestone evidence is achieved. This gives investors the lower execution risk of an Egypt-first strategy while preserving the upside narrative of the global portfolio model.</w:t>
      </w:r>
    </w:p>
    <w:p>
      <w:pPr>
        <w:pStyle w:val="Heading1"/>
      </w:pPr>
      <w:r>
        <w:t xml:space="preserve">1. Purpose of This Note</w:t>
      </w:r>
    </w:p>
    <w:p>
      <w:r>
        <w:t xml:space="preserve">This note compares two strategic valuation directions. The first is an Egypt-only strategy, where CashLine focuses on one large remittance market first. The second is a global portfolio strategy, where CashLine builds one shared platform and expands in phases across Egypt, Morocco, Philippines, India, and Indonesia.</w:t>
      </w:r>
    </w:p>
    <w:p>
      <w:r>
        <w:t xml:space="preserve">The objective is not simply to choose the larger valuation number. The objective is to decide which strategic path is more credible for investors, more controllable for management, and more defensible before go-live.</w:t>
      </w:r>
    </w:p>
    <w:p>
      <w:pPr>
        <w:pStyle w:val="Heading1"/>
      </w:pPr>
      <w:r>
        <w:t xml:space="preserve">2. Executive Comparison</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100"/>
        <w:gridCol w:w="2600"/>
        <w:gridCol w:w="2600"/>
        <w:gridCol w:w="2060"/>
      </w:tblGrid>
      <w:tr>
        <w:tc>
          <w:tcPr>
            <w:tcW w:w="2100" w:type="dxa"/>
            <w:shd w:fill="E8EEF5"/>
          </w:tcPr>
          <w:p>
            <w:r>
              <w:rPr>
                <w:b/>
                <w:sz w:val="20"/>
              </w:rPr>
              <w:t xml:space="preserve">Dimension</w:t>
            </w:r>
          </w:p>
        </w:tc>
        <w:tc>
          <w:tcPr>
            <w:tcW w:w="2600" w:type="dxa"/>
            <w:shd w:fill="E8EEF5"/>
          </w:tcPr>
          <w:p>
            <w:r>
              <w:rPr>
                <w:b/>
                <w:sz w:val="20"/>
              </w:rPr>
              <w:t xml:space="preserve">Egypt-Only Direction</w:t>
            </w:r>
          </w:p>
        </w:tc>
        <w:tc>
          <w:tcPr>
            <w:tcW w:w="2600" w:type="dxa"/>
            <w:shd w:fill="E8EEF5"/>
          </w:tcPr>
          <w:p>
            <w:r>
              <w:rPr>
                <w:b/>
                <w:sz w:val="20"/>
              </w:rPr>
              <w:t xml:space="preserve">Global Portfolio Direction</w:t>
            </w:r>
          </w:p>
        </w:tc>
        <w:tc>
          <w:tcPr>
            <w:tcW w:w="2060" w:type="dxa"/>
            <w:shd w:fill="E8EEF5"/>
          </w:tcPr>
          <w:p>
            <w:r>
              <w:rPr>
                <w:b/>
                <w:sz w:val="20"/>
              </w:rPr>
              <w:t xml:space="preserve">Investor Reading</w:t>
            </w:r>
          </w:p>
        </w:tc>
      </w:tr>
      <w:tr>
        <w:tc>
          <w:tcPr>
            <w:tcW w:w="2100" w:type="dxa"/>
            <w:shd w:fill="FFFFFF"/>
          </w:tcPr>
          <w:p>
            <w:r>
              <w:rPr>
                <w:sz w:val="20"/>
              </w:rPr>
              <w:t xml:space="preserve">Strategic posture</w:t>
            </w:r>
          </w:p>
        </w:tc>
        <w:tc>
          <w:tcPr>
            <w:tcW w:w="2600" w:type="dxa"/>
            <w:shd w:fill="FFFFFF"/>
          </w:tcPr>
          <w:p>
            <w:r>
              <w:rPr>
                <w:sz w:val="20"/>
              </w:rPr>
              <w:t xml:space="preserve">Focused first-market execution.</w:t>
            </w:r>
          </w:p>
        </w:tc>
        <w:tc>
          <w:tcPr>
            <w:tcW w:w="2600" w:type="dxa"/>
            <w:shd w:fill="FFFFFF"/>
          </w:tcPr>
          <w:p>
            <w:r>
              <w:rPr>
                <w:sz w:val="20"/>
              </w:rPr>
              <w:t xml:space="preserve">Shared platform with phased multi-country expansion.</w:t>
            </w:r>
          </w:p>
        </w:tc>
        <w:tc>
          <w:tcPr>
            <w:tcW w:w="2060" w:type="dxa"/>
            <w:shd w:fill="FFFFFF"/>
          </w:tcPr>
          <w:p>
            <w:r>
              <w:rPr>
                <w:sz w:val="20"/>
              </w:rPr>
              <w:t xml:space="preserve">Egypt-only is more credible for near-term launch; global is stronger for upside.</w:t>
            </w:r>
          </w:p>
        </w:tc>
      </w:tr>
      <w:tr>
        <w:tc>
          <w:tcPr>
            <w:tcW w:w="2100" w:type="dxa"/>
            <w:shd w:fill="FFFFFF"/>
          </w:tcPr>
          <w:p>
            <w:r>
              <w:rPr>
                <w:sz w:val="20"/>
              </w:rPr>
              <w:t xml:space="preserve">Launch complexity</w:t>
            </w:r>
          </w:p>
        </w:tc>
        <w:tc>
          <w:tcPr>
            <w:tcW w:w="2600" w:type="dxa"/>
            <w:shd w:fill="FFFFFF"/>
          </w:tcPr>
          <w:p>
            <w:r>
              <w:rPr>
                <w:sz w:val="20"/>
              </w:rPr>
              <w:t xml:space="preserve">Lower: one market, one operating proof point, one main regulatory path.</w:t>
            </w:r>
          </w:p>
        </w:tc>
        <w:tc>
          <w:tcPr>
            <w:tcW w:w="2600" w:type="dxa"/>
            <w:shd w:fill="FFFFFF"/>
          </w:tcPr>
          <w:p>
            <w:r>
              <w:rPr>
                <w:sz w:val="20"/>
              </w:rPr>
              <w:t xml:space="preserve">Higher: multiple markets, more licensing paths, more partner and currency complexity.</w:t>
            </w:r>
          </w:p>
        </w:tc>
        <w:tc>
          <w:tcPr>
            <w:tcW w:w="2060" w:type="dxa"/>
            <w:shd w:fill="FFFFFF"/>
          </w:tcPr>
          <w:p>
            <w:r>
              <w:rPr>
                <w:sz w:val="20"/>
              </w:rPr>
              <w:t xml:space="preserve">The global case should be gated, not launched all at once.</w:t>
            </w:r>
          </w:p>
        </w:tc>
      </w:tr>
      <w:tr>
        <w:tc>
          <w:tcPr>
            <w:tcW w:w="2100" w:type="dxa"/>
            <w:shd w:fill="FFFFFF"/>
          </w:tcPr>
          <w:p>
            <w:r>
              <w:rPr>
                <w:sz w:val="20"/>
              </w:rPr>
              <w:t xml:space="preserve">2031 revenue</w:t>
            </w:r>
          </w:p>
        </w:tc>
        <w:tc>
          <w:tcPr>
            <w:tcW w:w="2600" w:type="dxa"/>
            <w:shd w:fill="FFFFFF"/>
          </w:tcPr>
          <w:p>
            <w:r>
              <w:rPr>
                <w:sz w:val="20"/>
              </w:rPr>
              <w:t xml:space="preserve">USD 29.2M</w:t>
            </w:r>
          </w:p>
        </w:tc>
        <w:tc>
          <w:tcPr>
            <w:tcW w:w="2600" w:type="dxa"/>
            <w:shd w:fill="FFFFFF"/>
          </w:tcPr>
          <w:p>
            <w:r>
              <w:rPr>
                <w:sz w:val="20"/>
              </w:rPr>
              <w:t xml:space="preserve">USD 32.5M</w:t>
            </w:r>
          </w:p>
        </w:tc>
        <w:tc>
          <w:tcPr>
            <w:tcW w:w="2060" w:type="dxa"/>
            <w:shd w:fill="FFFFFF"/>
          </w:tcPr>
          <w:p>
            <w:r>
              <w:rPr>
                <w:sz w:val="20"/>
              </w:rPr>
              <w:t xml:space="preserve">Global revenue is only moderately above Egypt in the current model because later markets are phased and conservative.</w:t>
            </w:r>
          </w:p>
        </w:tc>
      </w:tr>
      <w:tr>
        <w:tc>
          <w:tcPr>
            <w:tcW w:w="2100" w:type="dxa"/>
            <w:shd w:fill="FFFFFF"/>
          </w:tcPr>
          <w:p>
            <w:r>
              <w:rPr>
                <w:sz w:val="20"/>
              </w:rPr>
              <w:t xml:space="preserve">2031 EBITDA</w:t>
            </w:r>
          </w:p>
        </w:tc>
        <w:tc>
          <w:tcPr>
            <w:tcW w:w="2600" w:type="dxa"/>
            <w:shd w:fill="FFFFFF"/>
          </w:tcPr>
          <w:p>
            <w:r>
              <w:rPr>
                <w:sz w:val="20"/>
              </w:rPr>
              <w:t xml:space="preserve">USD -4.4M</w:t>
            </w:r>
          </w:p>
        </w:tc>
        <w:tc>
          <w:tcPr>
            <w:tcW w:w="2600" w:type="dxa"/>
            <w:shd w:fill="FFFFFF"/>
          </w:tcPr>
          <w:p>
            <w:r>
              <w:rPr>
                <w:sz w:val="20"/>
              </w:rPr>
              <w:t xml:space="preserve">USD 4.7M</w:t>
            </w:r>
          </w:p>
        </w:tc>
        <w:tc>
          <w:tcPr>
            <w:tcW w:w="2060" w:type="dxa"/>
            <w:shd w:fill="FFFFFF"/>
          </w:tcPr>
          <w:p>
            <w:r>
              <w:rPr>
                <w:sz w:val="20"/>
              </w:rPr>
              <w:t xml:space="preserve">Global model benefits from shared-cost migration and reaches positive 2031 EBITDA, while Egypt-only remains negative in the current file.</w:t>
            </w:r>
          </w:p>
        </w:tc>
      </w:tr>
      <w:tr>
        <w:tc>
          <w:tcPr>
            <w:tcW w:w="2100" w:type="dxa"/>
            <w:shd w:fill="FFFFFF"/>
          </w:tcPr>
          <w:p>
            <w:r>
              <w:rPr>
                <w:sz w:val="20"/>
              </w:rPr>
              <w:t xml:space="preserve">Indicative / scenario-weighted equity value</w:t>
            </w:r>
          </w:p>
        </w:tc>
        <w:tc>
          <w:tcPr>
            <w:tcW w:w="2600" w:type="dxa"/>
            <w:shd w:fill="FFFFFF"/>
          </w:tcPr>
          <w:p>
            <w:r>
              <w:rPr>
                <w:sz w:val="20"/>
              </w:rPr>
              <w:t xml:space="preserve">USD 23.2M</w:t>
            </w:r>
          </w:p>
        </w:tc>
        <w:tc>
          <w:tcPr>
            <w:tcW w:w="2600" w:type="dxa"/>
            <w:shd w:fill="FFFFFF"/>
          </w:tcPr>
          <w:p>
            <w:r>
              <w:rPr>
                <w:sz w:val="20"/>
              </w:rPr>
              <w:t xml:space="preserve">USD 54.6M</w:t>
            </w:r>
          </w:p>
        </w:tc>
        <w:tc>
          <w:tcPr>
            <w:tcW w:w="2060" w:type="dxa"/>
            <w:shd w:fill="FFFFFF"/>
          </w:tcPr>
          <w:p>
            <w:r>
              <w:rPr>
                <w:sz w:val="20"/>
              </w:rPr>
              <w:t xml:space="preserve">Global model shows higher value, but it requires stronger execution and regulatory proof.</w:t>
            </w:r>
          </w:p>
        </w:tc>
      </w:tr>
      <w:tr>
        <w:tc>
          <w:tcPr>
            <w:tcW w:w="2100" w:type="dxa"/>
            <w:shd w:fill="FFFFFF"/>
          </w:tcPr>
          <w:p>
            <w:r>
              <w:rPr>
                <w:sz w:val="20"/>
              </w:rPr>
              <w:t xml:space="preserve">Main risk</w:t>
            </w:r>
          </w:p>
        </w:tc>
        <w:tc>
          <w:tcPr>
            <w:tcW w:w="2600" w:type="dxa"/>
            <w:shd w:fill="FFFFFF"/>
          </w:tcPr>
          <w:p>
            <w:r>
              <w:rPr>
                <w:sz w:val="20"/>
              </w:rPr>
              <w:t xml:space="preserve">Single-market concentration and slower upside.</w:t>
            </w:r>
          </w:p>
        </w:tc>
        <w:tc>
          <w:tcPr>
            <w:tcW w:w="2600" w:type="dxa"/>
            <w:shd w:fill="FFFFFF"/>
          </w:tcPr>
          <w:p>
            <w:r>
              <w:rPr>
                <w:sz w:val="20"/>
              </w:rPr>
              <w:t xml:space="preserve">Execution spread, regulatory sequencing, partner complexity, and management bandwidth.</w:t>
            </w:r>
          </w:p>
        </w:tc>
        <w:tc>
          <w:tcPr>
            <w:tcW w:w="2060" w:type="dxa"/>
            <w:shd w:fill="FFFFFF"/>
          </w:tcPr>
          <w:p>
            <w:r>
              <w:rPr>
                <w:sz w:val="20"/>
              </w:rPr>
              <w:t xml:space="preserve">The best strategy combines Egypt focus with global option value.</w:t>
            </w:r>
          </w:p>
        </w:tc>
      </w:tr>
    </w:tbl>
    <w:p>
      <w:pPr>
        <w:pStyle w:val="Heading1"/>
      </w:pPr>
      <w:r>
        <w:t xml:space="preserve">3. What the Egypt-Only Strategy Means</w:t>
      </w:r>
    </w:p>
    <w:p>
      <w:r>
        <w:t xml:space="preserve">The Egypt-only strategy is the most practical operating path for a pre-go-live company. It narrows the launch scope, makes regulatory and partner execution easier to control, and gives management a cleaner environment to validate customer conversion, SNPL approval quality, repayment behavior, fraud performance, settlement operations, and real unit economics.</w:t>
      </w:r>
    </w:p>
    <w:p>
      <w:r>
        <w:t xml:space="preserve">- It is easier to explain and defend to conservative investors.</w:t>
      </w:r>
    </w:p>
    <w:p>
      <w:r>
        <w:t xml:space="preserve">- It creates a clear pilot market and proof point before expanding.</w:t>
      </w:r>
    </w:p>
    <w:p>
      <w:r>
        <w:t xml:space="preserve">- It reduces early management distraction and regulatory complexity.</w:t>
      </w:r>
    </w:p>
    <w:p>
      <w:r>
        <w:t xml:space="preserve">- It allows a disciplined MVP build around one high-value remittance receive market.</w:t>
      </w:r>
    </w:p>
    <w:p>
      <w:r>
        <w:t xml:space="preserve">- Its weakness is that the valuation story may look smaller and slower unless the global option is clearly preserved.</w:t>
      </w:r>
    </w:p>
    <w:p>
      <w:pPr>
        <w:pStyle w:val="Heading1"/>
      </w:pPr>
      <w:r>
        <w:t xml:space="preserve">4. What the Global Portfolio Strategy Means</w:t>
      </w:r>
    </w:p>
    <w:p>
      <w:r>
        <w:t xml:space="preserve">The global portfolio strategy is a stronger platform story. It assumes that the same core product, data, compliance, risk, ledger, reporting, infrastructure, and operating model can support multiple receive markets over time. Its main analytical benefit is that fixed costs are centralized and allocated across active markets instead of duplicated by country.</w:t>
      </w:r>
    </w:p>
    <w:p>
      <w:r>
        <w:t xml:space="preserve">- It creates a larger strategic narrative and higher indicative equity value.</w:t>
      </w:r>
    </w:p>
    <w:p>
      <w:r>
        <w:t xml:space="preserve">- It improves the path to operating leverage because core platform costs are shared.</w:t>
      </w:r>
    </w:p>
    <w:p>
      <w:r>
        <w:t xml:space="preserve">- It diversifies country concentration risk after the first market is proven.</w:t>
      </w:r>
    </w:p>
    <w:p>
      <w:r>
        <w:t xml:space="preserve">- It is more attractive for investors looking for venture-scale optionality.</w:t>
      </w:r>
    </w:p>
    <w:p>
      <w:r>
        <w:t xml:space="preserve">- Its weakness is execution complexity: licensing, partner integrations, data controls, credit-risk localization, and operational readiness all become harder.</w:t>
      </w:r>
    </w:p>
    <w:p>
      <w:pPr>
        <w:pStyle w:val="Heading1"/>
      </w:pPr>
      <w:r>
        <w:t xml:space="preserve">5. Financial Comparison and Interpretation</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300"/>
        <w:gridCol w:w="2100"/>
        <w:gridCol w:w="2300"/>
        <w:gridCol w:w="2660"/>
      </w:tblGrid>
      <w:tr>
        <w:tc>
          <w:tcPr>
            <w:tcW w:w="2300" w:type="dxa"/>
            <w:shd w:fill="E8EEF5"/>
          </w:tcPr>
          <w:p>
            <w:r>
              <w:rPr>
                <w:b/>
                <w:sz w:val="20"/>
              </w:rPr>
              <w:t xml:space="preserve">Metric</w:t>
            </w:r>
          </w:p>
        </w:tc>
        <w:tc>
          <w:tcPr>
            <w:tcW w:w="2100" w:type="dxa"/>
            <w:shd w:fill="E8EEF5"/>
          </w:tcPr>
          <w:p>
            <w:r>
              <w:rPr>
                <w:b/>
                <w:sz w:val="20"/>
              </w:rPr>
              <w:t xml:space="preserve">Egypt-Only Model</w:t>
            </w:r>
          </w:p>
        </w:tc>
        <w:tc>
          <w:tcPr>
            <w:tcW w:w="2300" w:type="dxa"/>
            <w:shd w:fill="E8EEF5"/>
          </w:tcPr>
          <w:p>
            <w:r>
              <w:rPr>
                <w:b/>
                <w:sz w:val="20"/>
              </w:rPr>
              <w:t xml:space="preserve">Global Portfolio Model</w:t>
            </w:r>
          </w:p>
        </w:tc>
        <w:tc>
          <w:tcPr>
            <w:tcW w:w="2660" w:type="dxa"/>
            <w:shd w:fill="E8EEF5"/>
          </w:tcPr>
          <w:p>
            <w:r>
              <w:rPr>
                <w:b/>
                <w:sz w:val="20"/>
              </w:rPr>
              <w:t xml:space="preserve">Interpretation</w:t>
            </w:r>
          </w:p>
        </w:tc>
      </w:tr>
      <w:tr>
        <w:tc>
          <w:tcPr>
            <w:tcW w:w="2300" w:type="dxa"/>
            <w:shd w:fill="FFFFFF"/>
          </w:tcPr>
          <w:p>
            <w:r>
              <w:rPr>
                <w:sz w:val="20"/>
              </w:rPr>
              <w:t xml:space="preserve">2031 captured volume</w:t>
            </w:r>
          </w:p>
        </w:tc>
        <w:tc>
          <w:tcPr>
            <w:tcW w:w="2100" w:type="dxa"/>
            <w:shd w:fill="FFFFFF"/>
          </w:tcPr>
          <w:p>
            <w:r>
              <w:rPr>
                <w:sz w:val="20"/>
              </w:rPr>
              <w:t xml:space="preserve">USD 1,573.8M</w:t>
            </w:r>
          </w:p>
        </w:tc>
        <w:tc>
          <w:tcPr>
            <w:tcW w:w="2300" w:type="dxa"/>
            <w:shd w:fill="FFFFFF"/>
          </w:tcPr>
          <w:p>
            <w:r>
              <w:rPr>
                <w:sz w:val="20"/>
              </w:rPr>
              <w:t xml:space="preserve">USD 1,631.1M</w:t>
            </w:r>
          </w:p>
        </w:tc>
        <w:tc>
          <w:tcPr>
            <w:tcW w:w="2660" w:type="dxa"/>
            <w:shd w:fill="FFFFFF"/>
          </w:tcPr>
          <w:p>
            <w:r>
              <w:rPr>
                <w:sz w:val="20"/>
              </w:rPr>
              <w:t xml:space="preserve">Global scale is broader, but still conservative because India and Indonesia start later.</w:t>
            </w:r>
          </w:p>
        </w:tc>
      </w:tr>
      <w:tr>
        <w:tc>
          <w:tcPr>
            <w:tcW w:w="2300" w:type="dxa"/>
            <w:shd w:fill="FFFFFF"/>
          </w:tcPr>
          <w:p>
            <w:r>
              <w:rPr>
                <w:sz w:val="20"/>
              </w:rPr>
              <w:t xml:space="preserve">2031 transactions</w:t>
            </w:r>
          </w:p>
        </w:tc>
        <w:tc>
          <w:tcPr>
            <w:tcW w:w="2100" w:type="dxa"/>
            <w:shd w:fill="FFFFFF"/>
          </w:tcPr>
          <w:p>
            <w:r>
              <w:rPr>
                <w:sz w:val="20"/>
              </w:rPr>
              <w:t xml:space="preserve">3,147,653</w:t>
            </w:r>
          </w:p>
        </w:tc>
        <w:tc>
          <w:tcPr>
            <w:tcW w:w="2300" w:type="dxa"/>
            <w:shd w:fill="FFFFFF"/>
          </w:tcPr>
          <w:p>
            <w:r>
              <w:rPr>
                <w:sz w:val="20"/>
              </w:rPr>
              <w:t xml:space="preserve">3,384,434</w:t>
            </w:r>
          </w:p>
        </w:tc>
        <w:tc>
          <w:tcPr>
            <w:tcW w:w="2660" w:type="dxa"/>
            <w:shd w:fill="FFFFFF"/>
          </w:tcPr>
          <w:p>
            <w:r>
              <w:rPr>
                <w:sz w:val="20"/>
              </w:rPr>
              <w:t xml:space="preserve">Egypt has a strong standalone transaction base; global adds diversification.</w:t>
            </w:r>
          </w:p>
        </w:tc>
      </w:tr>
      <w:tr>
        <w:tc>
          <w:tcPr>
            <w:tcW w:w="2300" w:type="dxa"/>
            <w:shd w:fill="FFFFFF"/>
          </w:tcPr>
          <w:p>
            <w:r>
              <w:rPr>
                <w:sz w:val="20"/>
              </w:rPr>
              <w:t xml:space="preserve">2031 revenue</w:t>
            </w:r>
          </w:p>
        </w:tc>
        <w:tc>
          <w:tcPr>
            <w:tcW w:w="2100" w:type="dxa"/>
            <w:shd w:fill="FFFFFF"/>
          </w:tcPr>
          <w:p>
            <w:r>
              <w:rPr>
                <w:sz w:val="20"/>
              </w:rPr>
              <w:t xml:space="preserve">USD 29.2M</w:t>
            </w:r>
          </w:p>
        </w:tc>
        <w:tc>
          <w:tcPr>
            <w:tcW w:w="2300" w:type="dxa"/>
            <w:shd w:fill="FFFFFF"/>
          </w:tcPr>
          <w:p>
            <w:r>
              <w:rPr>
                <w:sz w:val="20"/>
              </w:rPr>
              <w:t xml:space="preserve">USD 32.5M</w:t>
            </w:r>
          </w:p>
        </w:tc>
        <w:tc>
          <w:tcPr>
            <w:tcW w:w="2660" w:type="dxa"/>
            <w:shd w:fill="FFFFFF"/>
          </w:tcPr>
          <w:p>
            <w:r>
              <w:rPr>
                <w:sz w:val="20"/>
              </w:rPr>
              <w:t xml:space="preserve">Global is higher, but not dramatically higher under the current conservative phasing.</w:t>
            </w:r>
          </w:p>
        </w:tc>
      </w:tr>
      <w:tr>
        <w:tc>
          <w:tcPr>
            <w:tcW w:w="2300" w:type="dxa"/>
            <w:shd w:fill="FFFFFF"/>
          </w:tcPr>
          <w:p>
            <w:r>
              <w:rPr>
                <w:sz w:val="20"/>
              </w:rPr>
              <w:t xml:space="preserve">2031 EBITDA</w:t>
            </w:r>
          </w:p>
        </w:tc>
        <w:tc>
          <w:tcPr>
            <w:tcW w:w="2100" w:type="dxa"/>
            <w:shd w:fill="FFFFFF"/>
          </w:tcPr>
          <w:p>
            <w:r>
              <w:rPr>
                <w:sz w:val="20"/>
              </w:rPr>
              <w:t xml:space="preserve">USD -4.4M</w:t>
            </w:r>
          </w:p>
        </w:tc>
        <w:tc>
          <w:tcPr>
            <w:tcW w:w="2300" w:type="dxa"/>
            <w:shd w:fill="FFFFFF"/>
          </w:tcPr>
          <w:p>
            <w:r>
              <w:rPr>
                <w:sz w:val="20"/>
              </w:rPr>
              <w:t xml:space="preserve">USD 4.7M</w:t>
            </w:r>
          </w:p>
        </w:tc>
        <w:tc>
          <w:tcPr>
            <w:tcW w:w="2660" w:type="dxa"/>
            <w:shd w:fill="FFFFFF"/>
          </w:tcPr>
          <w:p>
            <w:r>
              <w:rPr>
                <w:sz w:val="20"/>
              </w:rPr>
              <w:t xml:space="preserve">The global model benefits materially from shared cost absorption.</w:t>
            </w:r>
          </w:p>
        </w:tc>
      </w:tr>
      <w:tr>
        <w:tc>
          <w:tcPr>
            <w:tcW w:w="2300" w:type="dxa"/>
            <w:shd w:fill="FFFFFF"/>
          </w:tcPr>
          <w:p>
            <w:r>
              <w:rPr>
                <w:sz w:val="20"/>
              </w:rPr>
              <w:t xml:space="preserve">2031 FCF</w:t>
            </w:r>
          </w:p>
        </w:tc>
        <w:tc>
          <w:tcPr>
            <w:tcW w:w="2100" w:type="dxa"/>
            <w:shd w:fill="FFFFFF"/>
          </w:tcPr>
          <w:p>
            <w:r>
              <w:rPr>
                <w:sz w:val="20"/>
              </w:rPr>
              <w:t xml:space="preserve">USD -7.6M</w:t>
            </w:r>
          </w:p>
        </w:tc>
        <w:tc>
          <w:tcPr>
            <w:tcW w:w="2300" w:type="dxa"/>
            <w:shd w:fill="FFFFFF"/>
          </w:tcPr>
          <w:p>
            <w:r>
              <w:rPr>
                <w:sz w:val="20"/>
              </w:rPr>
              <w:t xml:space="preserve">USD 2.5M</w:t>
            </w:r>
          </w:p>
        </w:tc>
        <w:tc>
          <w:tcPr>
            <w:tcW w:w="2660" w:type="dxa"/>
            <w:shd w:fill="FFFFFF"/>
          </w:tcPr>
          <w:p>
            <w:r>
              <w:rPr>
                <w:sz w:val="20"/>
              </w:rPr>
              <w:t xml:space="preserve">Global model has a better late-period cash profile in the current setup.</w:t>
            </w:r>
          </w:p>
        </w:tc>
      </w:tr>
      <w:tr>
        <w:tc>
          <w:tcPr>
            <w:tcW w:w="2300" w:type="dxa"/>
            <w:shd w:fill="FFFFFF"/>
          </w:tcPr>
          <w:p>
            <w:r>
              <w:rPr>
                <w:sz w:val="20"/>
              </w:rPr>
              <w:t xml:space="preserve">DCF EV</w:t>
            </w:r>
          </w:p>
        </w:tc>
        <w:tc>
          <w:tcPr>
            <w:tcW w:w="2100" w:type="dxa"/>
            <w:shd w:fill="FFFFFF"/>
          </w:tcPr>
          <w:p>
            <w:r>
              <w:rPr>
                <w:sz w:val="20"/>
              </w:rPr>
              <w:t xml:space="preserve">USD -41.0M</w:t>
            </w:r>
          </w:p>
        </w:tc>
        <w:tc>
          <w:tcPr>
            <w:tcW w:w="2300" w:type="dxa"/>
            <w:shd w:fill="FFFFFF"/>
          </w:tcPr>
          <w:p>
            <w:r>
              <w:rPr>
                <w:sz w:val="20"/>
              </w:rPr>
              <w:t xml:space="preserve">USD -24.2M</w:t>
            </w:r>
          </w:p>
        </w:tc>
        <w:tc>
          <w:tcPr>
            <w:tcW w:w="2660" w:type="dxa"/>
            <w:shd w:fill="FFFFFF"/>
          </w:tcPr>
          <w:p>
            <w:r>
              <w:rPr>
                <w:sz w:val="20"/>
              </w:rPr>
              <w:t xml:space="preserve">Egypt DCF remains negative; global DCF improves because of shared-cost operating leverage.</w:t>
            </w:r>
          </w:p>
        </w:tc>
      </w:tr>
      <w:tr>
        <w:tc>
          <w:tcPr>
            <w:tcW w:w="2300" w:type="dxa"/>
            <w:shd w:fill="FFFFFF"/>
          </w:tcPr>
          <w:p>
            <w:r>
              <w:rPr>
                <w:sz w:val="20"/>
              </w:rPr>
              <w:t xml:space="preserve">Revenue multiple EV</w:t>
            </w:r>
          </w:p>
        </w:tc>
        <w:tc>
          <w:tcPr>
            <w:tcW w:w="2100" w:type="dxa"/>
            <w:shd w:fill="FFFFFF"/>
          </w:tcPr>
          <w:p>
            <w:r>
              <w:rPr>
                <w:sz w:val="20"/>
              </w:rPr>
              <w:t xml:space="preserve">USD 87.5M</w:t>
            </w:r>
          </w:p>
        </w:tc>
        <w:tc>
          <w:tcPr>
            <w:tcW w:w="2300" w:type="dxa"/>
            <w:shd w:fill="FFFFFF"/>
          </w:tcPr>
          <w:p>
            <w:r>
              <w:rPr>
                <w:sz w:val="20"/>
              </w:rPr>
              <w:t xml:space="preserve">USD 133.4M</w:t>
            </w:r>
          </w:p>
        </w:tc>
        <w:tc>
          <w:tcPr>
            <w:tcW w:w="2660" w:type="dxa"/>
            <w:shd w:fill="FFFFFF"/>
          </w:tcPr>
          <w:p>
            <w:r>
              <w:rPr>
                <w:sz w:val="20"/>
              </w:rPr>
              <w:t xml:space="preserve">Both rely on revenue-scale logic; global multiple case is higher because of platform breadth.</w:t>
            </w:r>
          </w:p>
        </w:tc>
      </w:tr>
      <w:tr>
        <w:tc>
          <w:tcPr>
            <w:tcW w:w="2300" w:type="dxa"/>
            <w:shd w:fill="FFFFFF"/>
          </w:tcPr>
          <w:p>
            <w:r>
              <w:rPr>
                <w:sz w:val="20"/>
              </w:rPr>
              <w:t xml:space="preserve">Indicative / weighted equity value</w:t>
            </w:r>
          </w:p>
        </w:tc>
        <w:tc>
          <w:tcPr>
            <w:tcW w:w="2100" w:type="dxa"/>
            <w:shd w:fill="FFFFFF"/>
          </w:tcPr>
          <w:p>
            <w:r>
              <w:rPr>
                <w:sz w:val="20"/>
              </w:rPr>
              <w:t xml:space="preserve">USD 23.2M</w:t>
            </w:r>
          </w:p>
        </w:tc>
        <w:tc>
          <w:tcPr>
            <w:tcW w:w="2300" w:type="dxa"/>
            <w:shd w:fill="FFFFFF"/>
          </w:tcPr>
          <w:p>
            <w:r>
              <w:rPr>
                <w:sz w:val="20"/>
              </w:rPr>
              <w:t xml:space="preserve">USD 54.6M</w:t>
            </w:r>
          </w:p>
        </w:tc>
        <w:tc>
          <w:tcPr>
            <w:tcW w:w="2660" w:type="dxa"/>
            <w:shd w:fill="FFFFFF"/>
          </w:tcPr>
          <w:p>
            <w:r>
              <w:rPr>
                <w:sz w:val="20"/>
              </w:rPr>
              <w:t xml:space="preserve">Global value is higher but should be treated as option value until Egypt proof is achieved.</w:t>
            </w:r>
          </w:p>
        </w:tc>
      </w:tr>
    </w:tbl>
    <w:p>
      <w:pPr>
        <w:pStyle w:val="Heading1"/>
      </w:pPr>
      <w:r>
        <w:t xml:space="preserve">6. Strategic Trade-Offs</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500"/>
        <w:gridCol w:w="2500"/>
        <w:gridCol w:w="2500"/>
        <w:gridCol w:w="1860"/>
      </w:tblGrid>
      <w:tr>
        <w:tc>
          <w:tcPr>
            <w:tcW w:w="2500" w:type="dxa"/>
            <w:shd w:fill="E8EEF5"/>
          </w:tcPr>
          <w:p>
            <w:r>
              <w:rPr>
                <w:b/>
                <w:sz w:val="20"/>
              </w:rPr>
              <w:t xml:space="preserve">Question</w:t>
            </w:r>
          </w:p>
        </w:tc>
        <w:tc>
          <w:tcPr>
            <w:tcW w:w="2500" w:type="dxa"/>
            <w:shd w:fill="E8EEF5"/>
          </w:tcPr>
          <w:p>
            <w:r>
              <w:rPr>
                <w:b/>
                <w:sz w:val="20"/>
              </w:rPr>
              <w:t xml:space="preserve">Egypt-Only Answer</w:t>
            </w:r>
          </w:p>
        </w:tc>
        <w:tc>
          <w:tcPr>
            <w:tcW w:w="2500" w:type="dxa"/>
            <w:shd w:fill="E8EEF5"/>
          </w:tcPr>
          <w:p>
            <w:r>
              <w:rPr>
                <w:b/>
                <w:sz w:val="20"/>
              </w:rPr>
              <w:t xml:space="preserve">Global Portfolio Answer</w:t>
            </w:r>
          </w:p>
        </w:tc>
        <w:tc>
          <w:tcPr>
            <w:tcW w:w="1860" w:type="dxa"/>
            <w:shd w:fill="E8EEF5"/>
          </w:tcPr>
          <w:p>
            <w:r>
              <w:rPr>
                <w:b/>
                <w:sz w:val="20"/>
              </w:rPr>
              <w:t xml:space="preserve">Decision View</w:t>
            </w:r>
          </w:p>
        </w:tc>
      </w:tr>
      <w:tr>
        <w:tc>
          <w:tcPr>
            <w:tcW w:w="2500" w:type="dxa"/>
            <w:shd w:fill="FFFFFF"/>
          </w:tcPr>
          <w:p>
            <w:r>
              <w:rPr>
                <w:sz w:val="20"/>
              </w:rPr>
              <w:t xml:space="preserve">Which is easier to execute?</w:t>
            </w:r>
          </w:p>
        </w:tc>
        <w:tc>
          <w:tcPr>
            <w:tcW w:w="2500" w:type="dxa"/>
            <w:shd w:fill="FFFFFF"/>
          </w:tcPr>
          <w:p>
            <w:r>
              <w:rPr>
                <w:sz w:val="20"/>
              </w:rPr>
              <w:t xml:space="preserve">Egypt-only.</w:t>
            </w:r>
          </w:p>
        </w:tc>
        <w:tc>
          <w:tcPr>
            <w:tcW w:w="2500" w:type="dxa"/>
            <w:shd w:fill="FFFFFF"/>
          </w:tcPr>
          <w:p>
            <w:r>
              <w:rPr>
                <w:sz w:val="20"/>
              </w:rPr>
              <w:t xml:space="preserve">Global is harder.</w:t>
            </w:r>
          </w:p>
        </w:tc>
        <w:tc>
          <w:tcPr>
            <w:tcW w:w="1860" w:type="dxa"/>
            <w:shd w:fill="FFFFFF"/>
          </w:tcPr>
          <w:p>
            <w:r>
              <w:rPr>
                <w:sz w:val="20"/>
              </w:rPr>
              <w:t xml:space="preserve">Start with Egypt operationally.</w:t>
            </w:r>
          </w:p>
        </w:tc>
      </w:tr>
      <w:tr>
        <w:tc>
          <w:tcPr>
            <w:tcW w:w="2500" w:type="dxa"/>
            <w:shd w:fill="FFFFFF"/>
          </w:tcPr>
          <w:p>
            <w:r>
              <w:rPr>
                <w:sz w:val="20"/>
              </w:rPr>
              <w:t xml:space="preserve">Which is easier to raise against?</w:t>
            </w:r>
          </w:p>
        </w:tc>
        <w:tc>
          <w:tcPr>
            <w:tcW w:w="2500" w:type="dxa"/>
            <w:shd w:fill="FFFFFF"/>
          </w:tcPr>
          <w:p>
            <w:r>
              <w:rPr>
                <w:sz w:val="20"/>
              </w:rPr>
              <w:t xml:space="preserve">Egypt is clearer for disciplined investors.</w:t>
            </w:r>
          </w:p>
        </w:tc>
        <w:tc>
          <w:tcPr>
            <w:tcW w:w="2500" w:type="dxa"/>
            <w:shd w:fill="FFFFFF"/>
          </w:tcPr>
          <w:p>
            <w:r>
              <w:rPr>
                <w:sz w:val="20"/>
              </w:rPr>
              <w:t xml:space="preserve">Global can attract larger ambition investors.</w:t>
            </w:r>
          </w:p>
        </w:tc>
        <w:tc>
          <w:tcPr>
            <w:tcW w:w="1860" w:type="dxa"/>
            <w:shd w:fill="FFFFFF"/>
          </w:tcPr>
          <w:p>
            <w:r>
              <w:rPr>
                <w:sz w:val="20"/>
              </w:rPr>
              <w:t xml:space="preserve">Use Egypt as proof and global as upside.</w:t>
            </w:r>
          </w:p>
        </w:tc>
      </w:tr>
      <w:tr>
        <w:tc>
          <w:tcPr>
            <w:tcW w:w="2500" w:type="dxa"/>
            <w:shd w:fill="FFFFFF"/>
          </w:tcPr>
          <w:p>
            <w:r>
              <w:rPr>
                <w:sz w:val="20"/>
              </w:rPr>
              <w:t xml:space="preserve">Which has better risk control?</w:t>
            </w:r>
          </w:p>
        </w:tc>
        <w:tc>
          <w:tcPr>
            <w:tcW w:w="2500" w:type="dxa"/>
            <w:shd w:fill="FFFFFF"/>
          </w:tcPr>
          <w:p>
            <w:r>
              <w:rPr>
                <w:sz w:val="20"/>
              </w:rPr>
              <w:t xml:space="preserve">Egypt has fewer moving parts.</w:t>
            </w:r>
          </w:p>
        </w:tc>
        <w:tc>
          <w:tcPr>
            <w:tcW w:w="2500" w:type="dxa"/>
            <w:shd w:fill="FFFFFF"/>
          </w:tcPr>
          <w:p>
            <w:r>
              <w:rPr>
                <w:sz w:val="20"/>
              </w:rPr>
              <w:t xml:space="preserve">Global requires mature governance before scale.</w:t>
            </w:r>
          </w:p>
        </w:tc>
        <w:tc>
          <w:tcPr>
            <w:tcW w:w="1860" w:type="dxa"/>
            <w:shd w:fill="FFFFFF"/>
          </w:tcPr>
          <w:p>
            <w:r>
              <w:rPr>
                <w:sz w:val="20"/>
              </w:rPr>
              <w:t xml:space="preserve">Do not fund all markets at once without gates.</w:t>
            </w:r>
          </w:p>
        </w:tc>
      </w:tr>
      <w:tr>
        <w:tc>
          <w:tcPr>
            <w:tcW w:w="2500" w:type="dxa"/>
            <w:shd w:fill="FFFFFF"/>
          </w:tcPr>
          <w:p>
            <w:r>
              <w:rPr>
                <w:sz w:val="20"/>
              </w:rPr>
              <w:t xml:space="preserve">Which has higher valuation potential?</w:t>
            </w:r>
          </w:p>
        </w:tc>
        <w:tc>
          <w:tcPr>
            <w:tcW w:w="2500" w:type="dxa"/>
            <w:shd w:fill="FFFFFF"/>
          </w:tcPr>
          <w:p>
            <w:r>
              <w:rPr>
                <w:sz w:val="20"/>
              </w:rPr>
              <w:t xml:space="preserve">Lower standalone value.</w:t>
            </w:r>
          </w:p>
        </w:tc>
        <w:tc>
          <w:tcPr>
            <w:tcW w:w="2500" w:type="dxa"/>
            <w:shd w:fill="FFFFFF"/>
          </w:tcPr>
          <w:p>
            <w:r>
              <w:rPr>
                <w:sz w:val="20"/>
              </w:rPr>
              <w:t xml:space="preserve">Higher portfolio value.</w:t>
            </w:r>
          </w:p>
        </w:tc>
        <w:tc>
          <w:tcPr>
            <w:tcW w:w="1860" w:type="dxa"/>
            <w:shd w:fill="FFFFFF"/>
          </w:tcPr>
          <w:p>
            <w:r>
              <w:rPr>
                <w:sz w:val="20"/>
              </w:rPr>
              <w:t xml:space="preserve">Preserve global optionality in the investment story.</w:t>
            </w:r>
          </w:p>
        </w:tc>
      </w:tr>
      <w:tr>
        <w:tc>
          <w:tcPr>
            <w:tcW w:w="2500" w:type="dxa"/>
            <w:shd w:fill="FFFFFF"/>
          </w:tcPr>
          <w:p>
            <w:r>
              <w:rPr>
                <w:sz w:val="20"/>
              </w:rPr>
              <w:t xml:space="preserve">Which is best for board approval?</w:t>
            </w:r>
          </w:p>
        </w:tc>
        <w:tc>
          <w:tcPr>
            <w:tcW w:w="2500" w:type="dxa"/>
            <w:shd w:fill="FFFFFF"/>
          </w:tcPr>
          <w:p>
            <w:r>
              <w:rPr>
                <w:sz w:val="20"/>
              </w:rPr>
              <w:t xml:space="preserve">More defensible near-term.</w:t>
            </w:r>
          </w:p>
        </w:tc>
        <w:tc>
          <w:tcPr>
            <w:tcW w:w="2500" w:type="dxa"/>
            <w:shd w:fill="FFFFFF"/>
          </w:tcPr>
          <w:p>
            <w:r>
              <w:rPr>
                <w:sz w:val="20"/>
              </w:rPr>
              <w:t xml:space="preserve">Requires stronger conditions and staged capital.</w:t>
            </w:r>
          </w:p>
        </w:tc>
        <w:tc>
          <w:tcPr>
            <w:tcW w:w="1860" w:type="dxa"/>
            <w:shd w:fill="FFFFFF"/>
          </w:tcPr>
          <w:p>
            <w:r>
              <w:rPr>
                <w:sz w:val="20"/>
              </w:rPr>
              <w:t xml:space="preserve">Recommend phased approval.</w:t>
            </w:r>
          </w:p>
        </w:tc>
      </w:tr>
    </w:tbl>
    <w:p>
      <w:pPr>
        <w:pStyle w:val="Heading1"/>
      </w:pPr>
      <w:r>
        <w:t xml:space="preserve">7. Recommendation</w:t>
      </w:r>
    </w:p>
    <w:p>
      <w:r>
        <w:t xml:space="preserve">Recommended strategic direction: Egypt-led global option. CashLine should not position the business as either a small Egypt-only opportunity or an immediate multi-country launch. The stronger recommendation is to launch Egypt first, use Egypt to validate the operating model, and keep the global model as the strategic expansion case that justifies higher investor upside.</w:t>
      </w:r>
    </w:p>
    <w:p>
      <w:r>
        <w:t xml:space="preserve">This means the company should raise and operate around Phase 1 proof, while designing the platform, data model, compliance framework, partner onboarding model, and risk architecture so that Phase 2 and Phase 3 do not require rebuilding the system.</w:t>
      </w:r>
    </w:p>
    <w:p>
      <w:pPr>
        <w:pStyle w:val="Heading1"/>
      </w:pPr>
      <w:r>
        <w:t xml:space="preserve">8. Recommended Funding and Governance Gates</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100"/>
        <w:gridCol w:w="4300"/>
        <w:gridCol w:w="2960"/>
      </w:tblGrid>
      <w:tr>
        <w:tc>
          <w:tcPr>
            <w:tcW w:w="2100" w:type="dxa"/>
            <w:shd w:fill="E8EEF5"/>
          </w:tcPr>
          <w:p>
            <w:r>
              <w:rPr>
                <w:b/>
                <w:sz w:val="20"/>
              </w:rPr>
              <w:t xml:space="preserve">Gate</w:t>
            </w:r>
          </w:p>
        </w:tc>
        <w:tc>
          <w:tcPr>
            <w:tcW w:w="4300" w:type="dxa"/>
            <w:shd w:fill="E8EEF5"/>
          </w:tcPr>
          <w:p>
            <w:r>
              <w:rPr>
                <w:b/>
                <w:sz w:val="20"/>
              </w:rPr>
              <w:t xml:space="preserve">Required Evidence</w:t>
            </w:r>
          </w:p>
        </w:tc>
        <w:tc>
          <w:tcPr>
            <w:tcW w:w="2960" w:type="dxa"/>
            <w:shd w:fill="E8EEF5"/>
          </w:tcPr>
          <w:p>
            <w:r>
              <w:rPr>
                <w:b/>
                <w:sz w:val="20"/>
              </w:rPr>
              <w:t xml:space="preserve">Strategic Action</w:t>
            </w:r>
          </w:p>
        </w:tc>
      </w:tr>
      <w:tr>
        <w:tc>
          <w:tcPr>
            <w:tcW w:w="2100" w:type="dxa"/>
            <w:shd w:fill="FFFFFF"/>
          </w:tcPr>
          <w:p>
            <w:r>
              <w:rPr>
                <w:sz w:val="20"/>
              </w:rPr>
              <w:t xml:space="preserve">Gate 1: Build and licensing readiness</w:t>
            </w:r>
          </w:p>
        </w:tc>
        <w:tc>
          <w:tcPr>
            <w:tcW w:w="4300" w:type="dxa"/>
            <w:shd w:fill="FFFFFF"/>
          </w:tcPr>
          <w:p>
            <w:r>
              <w:rPr>
                <w:sz w:val="20"/>
              </w:rPr>
              <w:t xml:space="preserve">MVP completed, core controls documented, regulatory path confirmed, partner integration architecture ready.</w:t>
            </w:r>
          </w:p>
        </w:tc>
        <w:tc>
          <w:tcPr>
            <w:tcW w:w="2960" w:type="dxa"/>
            <w:shd w:fill="FFFFFF"/>
          </w:tcPr>
          <w:p>
            <w:r>
              <w:rPr>
                <w:sz w:val="20"/>
              </w:rPr>
              <w:t xml:space="preserve">Proceed to Egypt pilot only.</w:t>
            </w:r>
          </w:p>
        </w:tc>
      </w:tr>
      <w:tr>
        <w:tc>
          <w:tcPr>
            <w:tcW w:w="2100" w:type="dxa"/>
            <w:shd w:fill="FFFFFF"/>
          </w:tcPr>
          <w:p>
            <w:r>
              <w:rPr>
                <w:sz w:val="20"/>
              </w:rPr>
              <w:t xml:space="preserve">Gate 2: Egypt pilot validation</w:t>
            </w:r>
          </w:p>
        </w:tc>
        <w:tc>
          <w:tcPr>
            <w:tcW w:w="4300" w:type="dxa"/>
            <w:shd w:fill="FFFFFF"/>
          </w:tcPr>
          <w:p>
            <w:r>
              <w:rPr>
                <w:sz w:val="20"/>
              </w:rPr>
              <w:t xml:space="preserve">Live transaction evidence, approval/rejection data, repayment behavior, fraud results, settlement performance, customer support evidence.</w:t>
            </w:r>
          </w:p>
        </w:tc>
        <w:tc>
          <w:tcPr>
            <w:tcW w:w="2960" w:type="dxa"/>
            <w:shd w:fill="FFFFFF"/>
          </w:tcPr>
          <w:p>
            <w:r>
              <w:rPr>
                <w:sz w:val="20"/>
              </w:rPr>
              <w:t xml:space="preserve">Confirm Egypt scale plan and prepare Phase 2 readiness.</w:t>
            </w:r>
          </w:p>
        </w:tc>
      </w:tr>
      <w:tr>
        <w:tc>
          <w:tcPr>
            <w:tcW w:w="2100" w:type="dxa"/>
            <w:shd w:fill="FFFFFF"/>
          </w:tcPr>
          <w:p>
            <w:r>
              <w:rPr>
                <w:sz w:val="20"/>
              </w:rPr>
              <w:t xml:space="preserve">Gate 3: Partner proof</w:t>
            </w:r>
          </w:p>
        </w:tc>
        <w:tc>
          <w:tcPr>
            <w:tcW w:w="4300" w:type="dxa"/>
            <w:shd w:fill="FFFFFF"/>
          </w:tcPr>
          <w:p>
            <w:r>
              <w:rPr>
                <w:sz w:val="20"/>
              </w:rPr>
              <w:t xml:space="preserve">Signed MTO/agent/creditor commitments, integration testing, payout/settlement controls, reporting evidence.</w:t>
            </w:r>
          </w:p>
        </w:tc>
        <w:tc>
          <w:tcPr>
            <w:tcW w:w="2960" w:type="dxa"/>
            <w:shd w:fill="FFFFFF"/>
          </w:tcPr>
          <w:p>
            <w:r>
              <w:rPr>
                <w:sz w:val="20"/>
              </w:rPr>
              <w:t xml:space="preserve">Open Morocco and Philippines if economics remain controlled.</w:t>
            </w:r>
          </w:p>
        </w:tc>
      </w:tr>
      <w:tr>
        <w:tc>
          <w:tcPr>
            <w:tcW w:w="2100" w:type="dxa"/>
            <w:shd w:fill="FFFFFF"/>
          </w:tcPr>
          <w:p>
            <w:r>
              <w:rPr>
                <w:sz w:val="20"/>
              </w:rPr>
              <w:t xml:space="preserve">Gate 4: Risk maturity</w:t>
            </w:r>
          </w:p>
        </w:tc>
        <w:tc>
          <w:tcPr>
            <w:tcW w:w="4300" w:type="dxa"/>
            <w:shd w:fill="FFFFFF"/>
          </w:tcPr>
          <w:p>
            <w:r>
              <w:rPr>
                <w:sz w:val="20"/>
              </w:rPr>
              <w:t xml:space="preserve">Stable ECL, fraud loss, collections, AML/KYC exception handling, audit trail, and operating dashboards.</w:t>
            </w:r>
          </w:p>
        </w:tc>
        <w:tc>
          <w:tcPr>
            <w:tcW w:w="2960" w:type="dxa"/>
            <w:shd w:fill="FFFFFF"/>
          </w:tcPr>
          <w:p>
            <w:r>
              <w:rPr>
                <w:sz w:val="20"/>
              </w:rPr>
              <w:t xml:space="preserve">Prepare India and Indonesia only after risk controls mature.</w:t>
            </w:r>
          </w:p>
        </w:tc>
      </w:tr>
      <w:tr>
        <w:tc>
          <w:tcPr>
            <w:tcW w:w="2100" w:type="dxa"/>
            <w:shd w:fill="FFFFFF"/>
          </w:tcPr>
          <w:p>
            <w:r>
              <w:rPr>
                <w:sz w:val="20"/>
              </w:rPr>
              <w:t xml:space="preserve">Gate 5: Portfolio funding</w:t>
            </w:r>
          </w:p>
        </w:tc>
        <w:tc>
          <w:tcPr>
            <w:tcW w:w="4300" w:type="dxa"/>
            <w:shd w:fill="FFFFFF"/>
          </w:tcPr>
          <w:p>
            <w:r>
              <w:rPr>
                <w:sz w:val="20"/>
              </w:rPr>
              <w:t xml:space="preserve">Investor tranche tied to market expansion KPIs, not only valuation uplift.</w:t>
            </w:r>
          </w:p>
        </w:tc>
        <w:tc>
          <w:tcPr>
            <w:tcW w:w="2960" w:type="dxa"/>
            <w:shd w:fill="FFFFFF"/>
          </w:tcPr>
          <w:p>
            <w:r>
              <w:rPr>
                <w:sz w:val="20"/>
              </w:rPr>
              <w:t xml:space="preserve">Use global model for expansion round narrative.</w:t>
            </w:r>
          </w:p>
        </w:tc>
      </w:tr>
    </w:tbl>
    <w:p>
      <w:pPr>
        <w:pStyle w:val="Heading1"/>
      </w:pPr>
      <w:r>
        <w:t xml:space="preserve">9. Investor Positioning</w:t>
      </w:r>
    </w:p>
    <w:p>
      <w:r>
        <w:t xml:space="preserve">- For conservative investors: lead with Egypt as a large, focused, controllable first-market thesis.</w:t>
      </w:r>
    </w:p>
    <w:p>
      <w:r>
        <w:t xml:space="preserve">- For venture-style investors: show the global model as the upside case created by shared platform economics.</w:t>
      </w:r>
    </w:p>
    <w:p>
      <w:r>
        <w:t xml:space="preserve">- For board and governance audiences: request approval for phased execution, not immediate full global deployment.</w:t>
      </w:r>
    </w:p>
    <w:p>
      <w:r>
        <w:t xml:space="preserve">- For valuation negotiation: treat Egypt-only valuation as the proof-stage anchor and global valuation as option value unlocked by milestones.</w:t>
      </w:r>
    </w:p>
    <w:p>
      <w:r>
        <w:t xml:space="preserve">- For management planning: do not hire, license, or spend for all countries before Egypt evidence exists.</w:t>
      </w:r>
    </w:p>
    <w:p>
      <w:pPr>
        <w:pStyle w:val="Heading1"/>
      </w:pPr>
      <w:r>
        <w:t xml:space="preserve">10. Final Decision View</w:t>
      </w:r>
    </w:p>
    <w:tbl>
      <w:tblPr>
        <w:tblW w:w="9360" w:type="dxa"/>
        <w:tblInd w:w="120" w:type="dxa"/>
        <w:tblBorders>
          <w:top w:val="single" w:sz="4" w:color="BFBFBF"/>
          <w:left w:val="single" w:sz="4" w:color="BFBFBF"/>
          <w:bottom w:val="single" w:sz="4" w:color="BFBFBF"/>
          <w:right w:val="single" w:sz="4" w:color="BFBFBF"/>
          <w:insideH w:val="single" w:sz="4" w:color="D9E2F3"/>
          <w:insideV w:val="single" w:sz="4" w:color="D9E2F3"/>
        </w:tblBorders>
        <w:tblCellMar>
          <w:top w:w="100" w:type="dxa"/>
          <w:left w:w="120" w:type="dxa"/>
          <w:bottom w:w="100" w:type="dxa"/>
          <w:right w:w="120" w:type="dxa"/>
        </w:tblCellMar>
      </w:tblPr>
      <w:tblGrid>
        <w:gridCol w:w="2600"/>
        <w:gridCol w:w="6760"/>
      </w:tblGrid>
      <w:tr>
        <w:tc>
          <w:tcPr>
            <w:tcW w:w="2600" w:type="dxa"/>
            <w:shd w:fill="E8EEF5"/>
          </w:tcPr>
          <w:p>
            <w:r>
              <w:rPr>
                <w:b/>
                <w:sz w:val="20"/>
              </w:rPr>
              <w:t xml:space="preserve">Decision Area</w:t>
            </w:r>
          </w:p>
        </w:tc>
        <w:tc>
          <w:tcPr>
            <w:tcW w:w="6760" w:type="dxa"/>
            <w:shd w:fill="E8EEF5"/>
          </w:tcPr>
          <w:p>
            <w:r>
              <w:rPr>
                <w:b/>
                <w:sz w:val="20"/>
              </w:rPr>
              <w:t xml:space="preserve">Recommendation</w:t>
            </w:r>
          </w:p>
        </w:tc>
      </w:tr>
      <w:tr>
        <w:tc>
          <w:tcPr>
            <w:tcW w:w="2600" w:type="dxa"/>
            <w:shd w:fill="FFFFFF"/>
          </w:tcPr>
          <w:p>
            <w:r>
              <w:rPr>
                <w:sz w:val="20"/>
              </w:rPr>
              <w:t xml:space="preserve">Go-to-market</w:t>
            </w:r>
          </w:p>
        </w:tc>
        <w:tc>
          <w:tcPr>
            <w:tcW w:w="6760" w:type="dxa"/>
            <w:shd w:fill="FFFFFF"/>
          </w:tcPr>
          <w:p>
            <w:r>
              <w:rPr>
                <w:sz w:val="20"/>
              </w:rPr>
              <w:t xml:space="preserve">Start with Egypt only as the first operational market.</w:t>
            </w:r>
          </w:p>
        </w:tc>
      </w:tr>
      <w:tr>
        <w:tc>
          <w:tcPr>
            <w:tcW w:w="2600" w:type="dxa"/>
            <w:shd w:fill="FFFFFF"/>
          </w:tcPr>
          <w:p>
            <w:r>
              <w:rPr>
                <w:sz w:val="20"/>
              </w:rPr>
              <w:t xml:space="preserve">Platform architecture</w:t>
            </w:r>
          </w:p>
        </w:tc>
        <w:tc>
          <w:tcPr>
            <w:tcW w:w="6760" w:type="dxa"/>
            <w:shd w:fill="FFFFFF"/>
          </w:tcPr>
          <w:p>
            <w:r>
              <w:rPr>
                <w:sz w:val="20"/>
              </w:rPr>
              <w:t xml:space="preserve">Build global-ready from day one, but do not operate globally from day one.</w:t>
            </w:r>
          </w:p>
        </w:tc>
      </w:tr>
      <w:tr>
        <w:tc>
          <w:tcPr>
            <w:tcW w:w="2600" w:type="dxa"/>
            <w:shd w:fill="FFFFFF"/>
          </w:tcPr>
          <w:p>
            <w:r>
              <w:rPr>
                <w:sz w:val="20"/>
              </w:rPr>
              <w:t xml:space="preserve">Investor narrative</w:t>
            </w:r>
          </w:p>
        </w:tc>
        <w:tc>
          <w:tcPr>
            <w:tcW w:w="6760" w:type="dxa"/>
            <w:shd w:fill="FFFFFF"/>
          </w:tcPr>
          <w:p>
            <w:r>
              <w:rPr>
                <w:sz w:val="20"/>
              </w:rPr>
              <w:t xml:space="preserve">Use Egypt as the execution proof and global portfolio as the scalable upside case.</w:t>
            </w:r>
          </w:p>
        </w:tc>
      </w:tr>
      <w:tr>
        <w:tc>
          <w:tcPr>
            <w:tcW w:w="2600" w:type="dxa"/>
            <w:shd w:fill="FFFFFF"/>
          </w:tcPr>
          <w:p>
            <w:r>
              <w:rPr>
                <w:sz w:val="20"/>
              </w:rPr>
              <w:t xml:space="preserve">Valuation stance</w:t>
            </w:r>
          </w:p>
        </w:tc>
        <w:tc>
          <w:tcPr>
            <w:tcW w:w="6760" w:type="dxa"/>
            <w:shd w:fill="FFFFFF"/>
          </w:tcPr>
          <w:p>
            <w:r>
              <w:rPr>
                <w:sz w:val="20"/>
              </w:rPr>
              <w:t xml:space="preserve">Use Egypt valuation as the current defensible anchor; use global valuation as milestone-based expansion value.</w:t>
            </w:r>
          </w:p>
        </w:tc>
      </w:tr>
      <w:tr>
        <w:tc>
          <w:tcPr>
            <w:tcW w:w="2600" w:type="dxa"/>
            <w:shd w:fill="FFFFFF"/>
          </w:tcPr>
          <w:p>
            <w:r>
              <w:rPr>
                <w:sz w:val="20"/>
              </w:rPr>
              <w:t xml:space="preserve">Capital plan</w:t>
            </w:r>
          </w:p>
        </w:tc>
        <w:tc>
          <w:tcPr>
            <w:tcW w:w="6760" w:type="dxa"/>
            <w:shd w:fill="FFFFFF"/>
          </w:tcPr>
          <w:p>
            <w:r>
              <w:rPr>
                <w:sz w:val="20"/>
              </w:rPr>
              <w:t xml:space="preserve">Stage funding by gates: MVP/licensing, Egypt pilot, Phase 2 launch, Phase 3 expansion.</w:t>
            </w:r>
          </w:p>
        </w:tc>
      </w:tr>
      <w:tr>
        <w:tc>
          <w:tcPr>
            <w:tcW w:w="2600" w:type="dxa"/>
            <w:shd w:fill="FFFFFF"/>
          </w:tcPr>
          <w:p>
            <w:r>
              <w:rPr>
                <w:sz w:val="20"/>
              </w:rPr>
              <w:t xml:space="preserve">Overall recommendation</w:t>
            </w:r>
          </w:p>
        </w:tc>
        <w:tc>
          <w:tcPr>
            <w:tcW w:w="6760" w:type="dxa"/>
            <w:shd w:fill="FFFFFF"/>
          </w:tcPr>
          <w:p>
            <w:r>
              <w:rPr>
                <w:sz w:val="20"/>
              </w:rPr>
              <w:t xml:space="preserve">Proceed with Egypt-led global option strategy.</w:t>
            </w:r>
          </w:p>
        </w:tc>
      </w:tr>
    </w:tbl>
    <w:p>
      <w:pPr>
        <w:pStyle w:val="Heading1"/>
      </w:pPr>
      <w:r>
        <w:t xml:space="preserve">Conclusion</w:t>
      </w:r>
    </w:p>
    <w:p>
      <w:r>
        <w:t xml:space="preserve">The Egypt-only strategy is the right operating starting point. The global portfolio model is the right strategic destination if the platform proves itself. The recommended investor message is therefore not “Egypt only” and not “global immediately.” It is: CashLine starts with Egypt to prove the model, while building a reusable platform that can expand into Morocco, Philippines, India, and Indonesia once milestone evidence supports the next phase.</w:t>
      </w:r>
    </w:p>
    <w:p>
      <w:r>
        <w:rPr>
          <w:i/>
        </w:rPr>
        <w:t xml:space="preserve">This comparison should be read together with both valuation workbooks. It is an investor strategy note, not an audited valuation report, legal opinion, regulatory opinion, or investment recommendation.</w:t>
      </w:r>
    </w:p>
    <w:sectPr>
      <w:pgSz w:w="12240" w:h="15840"/>
      <w:pgMar w:top="1440" w:right="1440" w:bottom="1440" w:left="1440" w:header="708" w:footer="70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ajawal">
    <w:panose1 w:val="00000500000000000000"/>
    <w:charset w:val="B2"/>
    <w:family w:val="auto"/>
    <w:pitch w:val="variable"/>
    <w:sig w:usb0="8000202F" w:usb1="9000204A" w:usb2="00000008" w:usb3="00000000" w:csb0="0000004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1D1C"/>
    <w:multiLevelType w:val="hybridMultilevel"/>
    <w:tmpl w:val="F718D9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8802D40"/>
    <w:multiLevelType w:val="hybridMultilevel"/>
    <w:tmpl w:val="715078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C72055E"/>
    <w:multiLevelType w:val="hybridMultilevel"/>
    <w:tmpl w:val="0F86C4B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731800"/>
    <w:multiLevelType w:val="hybridMultilevel"/>
    <w:tmpl w:val="DC9C09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D6D4C57"/>
    <w:multiLevelType w:val="singleLevel"/>
    <w:tmpl w:val="C7A45140"/>
    <w:lvl w:ilvl="0">
      <w:start w:val="1"/>
      <w:numFmt w:val="bullet"/>
      <w:lvlText w:val="•"/>
      <w:lvlJc w:val="left"/>
      <w:pPr>
        <w:tabs>
          <w:tab w:val="num" w:pos="720"/>
        </w:tabs>
        <w:ind w:left="720" w:hanging="360"/>
      </w:pPr>
      <w:rPr>
        <w:rFonts w:ascii="Arial" w:hAnsi="Arial" w:hint="default"/>
      </w:rPr>
    </w:lvl>
  </w:abstractNum>
  <w:abstractNum w:abstractNumId="5" w15:restartNumberingAfterBreak="0">
    <w:nsid w:val="4DC72059"/>
    <w:multiLevelType w:val="hybridMultilevel"/>
    <w:tmpl w:val="5E0C73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031012"/>
    <w:multiLevelType w:val="singleLevel"/>
    <w:tmpl w:val="0409000F"/>
    <w:lvl w:ilvl="0">
      <w:start w:val="1"/>
      <w:numFmt w:val="decimal"/>
      <w:lvlText w:val="%1."/>
      <w:lvlJc w:val="left"/>
      <w:pPr>
        <w:tabs>
          <w:tab w:val="num" w:pos="720"/>
        </w:tabs>
        <w:ind w:left="720" w:hanging="360"/>
      </w:pPr>
    </w:lvl>
  </w:abstractNum>
  <w:num w:numId="1" w16cid:durableId="535311032">
    <w:abstractNumId w:val="6"/>
  </w:num>
  <w:num w:numId="2" w16cid:durableId="470094458">
    <w:abstractNumId w:val="1"/>
  </w:num>
  <w:num w:numId="3" w16cid:durableId="371736333">
    <w:abstractNumId w:val="2"/>
  </w:num>
  <w:num w:numId="4" w16cid:durableId="1203056791">
    <w:abstractNumId w:val="5"/>
  </w:num>
  <w:num w:numId="5" w16cid:durableId="1708484424">
    <w:abstractNumId w:val="0"/>
  </w:num>
  <w:num w:numId="6" w16cid:durableId="20499170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5A0"/>
    <w:rsid w:val="0014709E"/>
    <w:rsid w:val="00800141"/>
    <w:rsid w:val="009475A0"/>
    <w:rsid w:val="00AD6E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7FD1CF0E"/>
  <w15:docId w15:val="{A6DE792E-BE21-604D-A44D-8D2A5A3C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Y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300" w:lineRule="auto"/>
    </w:pPr>
    <w:rPr>
      <w:rFonts w:ascii="Arial" w:hAnsi="Arial"/>
      <w:color w:val="1F2933"/>
      <w:sz w:val="22"/>
    </w:rPr>
  </w:style>
  <w:style w:type="paragraph" w:styleId="Heading1">
    <w:name w:val="heading 1"/>
    <w:basedOn w:val="Normal"/>
    <w:next w:val="Normal"/>
    <w:uiPriority w:val="9"/>
    <w:qFormat/>
    <w:pPr>
      <w:keepNext/>
      <w:spacing w:before="320" w:after="100"/>
      <w:outlineLvl w:val="0"/>
    </w:pPr>
    <w:rPr>
      <w:b/>
      <w:color w:val="0F3557"/>
      <w:sz w:val="32"/>
    </w:rPr>
  </w:style>
  <w:style w:type="paragraph" w:styleId="Heading2">
    <w:name w:val="heading 2"/>
    <w:basedOn w:val="Normal"/>
    <w:next w:val="Normal"/>
    <w:uiPriority w:val="9"/>
    <w:semiHidden/>
    <w:unhideWhenUsed/>
    <w:qFormat/>
    <w:pPr>
      <w:keepNext/>
      <w:spacing w:before="220" w:after="80"/>
      <w:outlineLvl w:val="1"/>
    </w:pPr>
    <w:rPr>
      <w:b/>
      <w:color w:val="1F4E78"/>
      <w:sz w:val="26"/>
    </w:rPr>
  </w:style>
  <w:style w:type="paragraph" w:styleId="Heading3">
    <w:name w:val="heading 3"/>
    <w:basedOn w:val="Normal"/>
    <w:next w:val="Normal"/>
    <w:uiPriority w:val="9"/>
    <w:semiHidden/>
    <w:unhideWhenUsed/>
    <w:qFormat/>
    <w:pPr>
      <w:keepNext/>
      <w:spacing w:before="180" w:after="70"/>
      <w:outlineLvl w:val="2"/>
    </w:pPr>
    <w:rPr>
      <w:b/>
      <w:color w:val="1F4D7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after="80"/>
    </w:pPr>
    <w:rPr>
      <w:b/>
      <w:color w:val="0F3557"/>
      <w:sz w:val="48"/>
    </w:rPr>
  </w:style>
  <w:style w:type="paragraph" w:styleId="Subtitle">
    <w:name w:val="Subtitle"/>
    <w:basedOn w:val="Normal"/>
    <w:uiPriority w:val="11"/>
    <w:qFormat/>
    <w:pPr>
      <w:spacing w:after="220"/>
    </w:pPr>
    <w:rPr>
      <w:color w:val="555555"/>
      <w:sz w:val="26"/>
    </w:rPr>
  </w:style>
  <w:style w:type="paragraph" w:customStyle="1" w:styleId="Meta">
    <w:name w:val="Meta"/>
    <w:basedOn w:val="Normal"/>
    <w:pPr>
      <w:spacing w:after="220"/>
    </w:pPr>
    <w:rPr>
      <w:color w:val="46515D"/>
      <w:sz w:val="20"/>
    </w:rPr>
  </w:style>
  <w:style w:type="paragraph" w:customStyle="1" w:styleId="FooterNote">
    <w:name w:val="Footer Note"/>
    <w:basedOn w:val="Normal"/>
    <w:pPr>
      <w:spacing w:before="220" w:after="0"/>
    </w:pPr>
    <w:rPr>
      <w:color w:val="555555"/>
      <w:sz w:val="19"/>
    </w:rPr>
  </w:style>
  <w:style w:type="paragraph" w:styleId="ListParagraph">
    <w:name w:val="List Paragraph"/>
    <w:basedOn w:val="Normal"/>
    <w:uiPriority w:val="34"/>
    <w:qFormat/>
    <w:rsid w:val="00AD6E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2198</Words>
  <Characters>13656</Characters>
  <Application>Microsoft Office Word</Application>
  <DocSecurity>0</DocSecurity>
  <Lines>440</Lines>
  <Paragraphs>259</Paragraphs>
  <ScaleCrop>false</ScaleCrop>
  <Company>CashLine</Company>
  <LinksUpToDate>false</LinksUpToDate>
  <CharactersWithSpaces>15595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SNPL Valuation Model - Investor Methodology Note</dc:title>
  <dc:creator>OpenAI Codex</dc:creator>
  <cp:lastModifiedBy>Khalid Gabr</cp:lastModifiedBy>
  <cp:revision>3</cp:revision>
  <dcterms:created xsi:type="dcterms:W3CDTF">2026-05-19T19:12:00Z</dcterms:created>
  <dcterms:modified xsi:type="dcterms:W3CDTF">2026-05-20T08:57:00Z</dcterms:modified>
</cp:coreProperties>
</file>