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http://schemas.openxmlformats.org/wordprocessingml/2006/main">
  <w:body>
    <w:p>
      <w:pPr>
        <w:pStyle w:val="Title"/>
      </w:pPr>
      <w:r>
        <w:t xml:space="preserve">Investor Methodology Note</w:t>
      </w:r>
    </w:p>
    <w:p>
      <w:pPr>
        <w:pStyle w:val="Subtitle"/>
      </w:pPr>
      <w:r>
        <w:t xml:space="preserve">CashLine SNPL Global Portfolio Valuation Model, 2026-2031</w:t>
      </w:r>
    </w:p>
    <w:p>
      <w:r>
        <w:rPr>
          <w:i/>
          <w:color w:val="666666"/>
        </w:rPr>
        <w:t xml:space="preserve">Workbook: SNPL_Global_Portfolio_Valuation_Model_2026_2031.xlsx | Audience: investors, executives, board, strategy, finance, risk, and regulatory-readiness reviewers</w:t>
      </w:r>
    </w:p>
    <w:p>
      <w:r>
        <w:rPr>
          <w:b/>
        </w:rPr>
        <w:t xml:space="preserve">Executive reading point. This workbook is a consolidated pre-go-live valuation model. It does not value CashLine as a mature operating company. It values a phased global SNPL remittance platform using market potential, launch sequencing, transaction capture, revenue take-rate, SNPL adoption, credit-risk assumptions, shared-cost migration, and investor-style valuation methods.</w:t>
      </w:r>
    </w:p>
    <w:p>
      <w:pPr>
        <w:pStyle w:val="Heading1"/>
      </w:pPr>
      <w:r>
        <w:t xml:space="preserve">1. Purpose of This Note</w:t>
      </w:r>
    </w:p>
    <w:p>
      <w:r>
        <w:t xml:space="preserve">This note explains how the global portfolio valuation workbook was built, how each module should be read, what evidence and assumptions support the outputs, and what limitations investors should consider before using the model for funding discussions.</w:t>
      </w:r>
    </w:p>
    <w:p>
      <w:r>
        <w:t xml:space="preserve">The document is intended as an investor discussion note and strategic planning explanation. It is not an audited valuation report, statutory financial statement, fairness opinion, legal opinion, regulatory submission, or investment recommendation.</w:t>
      </w:r>
    </w:p>
    <w:p>
      <w:pPr>
        <w:pStyle w:val="Heading1"/>
      </w:pPr>
      <w:r>
        <w:t xml:space="preserve">2. Business Concept Reflected in the Global Model</w:t>
      </w:r>
    </w:p>
    <w:p>
      <w:r>
        <w:t xml:space="preserve">CashLine is modeled as a remittance-enabled credit platform. The product thesis is that eligible senders can complete urgent remittance transactions while using a controlled Send Now, Pay Later credit layer supported by approved creditors, compliance rules, settlement controls, and corridor-level risk governance.</w:t>
      </w:r>
    </w:p>
    <w:p>
      <w:r>
        <w:t xml:space="preserve">The global model treats CashLine as one shared operating platform. Product, engineering, regulatory readiness, data infrastructure, cybersecurity, core operations, audit/legal support, and shared marketing platform costs are pooled centrally and then allocated across active countries.</w:t>
      </w:r>
    </w:p>
    <w:p>
      <w:pPr>
        <w:pStyle w:val="Heading1"/>
      </w:pPr>
      <w:r>
        <w:t xml:space="preserve">3. Rollout Logic and Phasing</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1500"/>
        <w:gridCol w:w="1800"/>
        <w:gridCol w:w="2300"/>
        <w:gridCol w:w="3760"/>
      </w:tblGrid>
      <w:tr>
        <w:tc>
          <w:tcPr>
            <w:tcW w:w="1500" w:type="dxa"/>
            <w:shd w:fill="E8EEF5"/>
          </w:tcPr>
          <w:p>
            <w:r>
              <w:rPr>
                <w:b/>
                <w:sz w:val="20"/>
              </w:rPr>
              <w:t xml:space="preserve">Phase</w:t>
            </w:r>
          </w:p>
        </w:tc>
        <w:tc>
          <w:tcPr>
            <w:tcW w:w="1800" w:type="dxa"/>
            <w:shd w:fill="E8EEF5"/>
          </w:tcPr>
          <w:p>
            <w:r>
              <w:rPr>
                <w:b/>
                <w:sz w:val="20"/>
              </w:rPr>
              <w:t xml:space="preserve">Timing</w:t>
            </w:r>
          </w:p>
        </w:tc>
        <w:tc>
          <w:tcPr>
            <w:tcW w:w="2300" w:type="dxa"/>
            <w:shd w:fill="E8EEF5"/>
          </w:tcPr>
          <w:p>
            <w:r>
              <w:rPr>
                <w:b/>
                <w:sz w:val="20"/>
              </w:rPr>
              <w:t xml:space="preserve">Markets</w:t>
            </w:r>
          </w:p>
        </w:tc>
        <w:tc>
          <w:tcPr>
            <w:tcW w:w="3760" w:type="dxa"/>
            <w:shd w:fill="E8EEF5"/>
          </w:tcPr>
          <w:p>
            <w:r>
              <w:rPr>
                <w:b/>
                <w:sz w:val="20"/>
              </w:rPr>
              <w:t xml:space="preserve">Investor Interpretation</w:t>
            </w:r>
          </w:p>
        </w:tc>
      </w:tr>
      <w:tr>
        <w:tc>
          <w:tcPr>
            <w:tcW w:w="1500" w:type="dxa"/>
            <w:shd w:fill="FFFFFF"/>
          </w:tcPr>
          <w:p>
            <w:r>
              <w:rPr>
                <w:sz w:val="20"/>
              </w:rPr>
              <w:t xml:space="preserve">Build and licensing</w:t>
            </w:r>
          </w:p>
        </w:tc>
        <w:tc>
          <w:tcPr>
            <w:tcW w:w="1800" w:type="dxa"/>
            <w:shd w:fill="FFFFFF"/>
          </w:tcPr>
          <w:p>
            <w:r>
              <w:rPr>
                <w:sz w:val="20"/>
              </w:rPr>
              <w:t xml:space="preserve">Aug 2026-May 2027</w:t>
            </w:r>
          </w:p>
        </w:tc>
        <w:tc>
          <w:tcPr>
            <w:tcW w:w="2300" w:type="dxa"/>
            <w:shd w:fill="FFFFFF"/>
          </w:tcPr>
          <w:p>
            <w:r>
              <w:rPr>
                <w:sz w:val="20"/>
              </w:rPr>
              <w:t xml:space="preserve">No live revenue markets</w:t>
            </w:r>
          </w:p>
        </w:tc>
        <w:tc>
          <w:tcPr>
            <w:tcW w:w="3760" w:type="dxa"/>
            <w:shd w:fill="FFFFFF"/>
          </w:tcPr>
          <w:p>
            <w:r>
              <w:rPr>
                <w:sz w:val="20"/>
              </w:rPr>
              <w:t xml:space="preserve">Dedicated MVP build, regulatory preparation, partner architecture, control design, and operating readiness.</w:t>
            </w:r>
          </w:p>
        </w:tc>
      </w:tr>
      <w:tr>
        <w:tc>
          <w:tcPr>
            <w:tcW w:w="1500" w:type="dxa"/>
            <w:shd w:fill="FFFFFF"/>
          </w:tcPr>
          <w:p>
            <w:r>
              <w:rPr>
                <w:sz w:val="20"/>
              </w:rPr>
              <w:t xml:space="preserve">Phase 1</w:t>
            </w:r>
          </w:p>
        </w:tc>
        <w:tc>
          <w:tcPr>
            <w:tcW w:w="1800" w:type="dxa"/>
            <w:shd w:fill="FFFFFF"/>
          </w:tcPr>
          <w:p>
            <w:r>
              <w:rPr>
                <w:sz w:val="20"/>
              </w:rPr>
              <w:t xml:space="preserve">Jun 2027-Nov 2027 controlled pilot, then ongoing</w:t>
            </w:r>
          </w:p>
        </w:tc>
        <w:tc>
          <w:tcPr>
            <w:tcW w:w="2300" w:type="dxa"/>
            <w:shd w:fill="FFFFFF"/>
          </w:tcPr>
          <w:p>
            <w:r>
              <w:rPr>
                <w:sz w:val="20"/>
              </w:rPr>
              <w:t xml:space="preserve">Egypt</w:t>
            </w:r>
          </w:p>
        </w:tc>
        <w:tc>
          <w:tcPr>
            <w:tcW w:w="3760" w:type="dxa"/>
            <w:shd w:fill="FFFFFF"/>
          </w:tcPr>
          <w:p>
            <w:r>
              <w:rPr>
                <w:sz w:val="20"/>
              </w:rPr>
              <w:t xml:space="preserve">Egypt is the first proof market and runs for six months before wider rollout assumptions become more meaningful.</w:t>
            </w:r>
          </w:p>
        </w:tc>
      </w:tr>
      <w:tr>
        <w:tc>
          <w:tcPr>
            <w:tcW w:w="1500" w:type="dxa"/>
            <w:shd w:fill="FFFFFF"/>
          </w:tcPr>
          <w:p>
            <w:r>
              <w:rPr>
                <w:sz w:val="20"/>
              </w:rPr>
              <w:t xml:space="preserve">Phase 2</w:t>
            </w:r>
          </w:p>
        </w:tc>
        <w:tc>
          <w:tcPr>
            <w:tcW w:w="1800" w:type="dxa"/>
            <w:shd w:fill="FFFFFF"/>
          </w:tcPr>
          <w:p>
            <w:r>
              <w:rPr>
                <w:sz w:val="20"/>
              </w:rPr>
              <w:t xml:space="preserve">From Jan 2028</w:t>
            </w:r>
          </w:p>
        </w:tc>
        <w:tc>
          <w:tcPr>
            <w:tcW w:w="2300" w:type="dxa"/>
            <w:shd w:fill="FFFFFF"/>
          </w:tcPr>
          <w:p>
            <w:r>
              <w:rPr>
                <w:sz w:val="20"/>
              </w:rPr>
              <w:t xml:space="preserve">Morocco and Philippines, while Egypt continues</w:t>
            </w:r>
          </w:p>
        </w:tc>
        <w:tc>
          <w:tcPr>
            <w:tcW w:w="3760" w:type="dxa"/>
            <w:shd w:fill="FFFFFF"/>
          </w:tcPr>
          <w:p>
            <w:r>
              <w:rPr>
                <w:sz w:val="20"/>
              </w:rPr>
              <w:t xml:space="preserve">Second-wave markets use the same core platform and benefit from fixed-cost migration.</w:t>
            </w:r>
          </w:p>
        </w:tc>
      </w:tr>
      <w:tr>
        <w:tc>
          <w:tcPr>
            <w:tcW w:w="1500" w:type="dxa"/>
            <w:shd w:fill="FFFFFF"/>
          </w:tcPr>
          <w:p>
            <w:r>
              <w:rPr>
                <w:sz w:val="20"/>
              </w:rPr>
              <w:t xml:space="preserve">Phase 3</w:t>
            </w:r>
          </w:p>
        </w:tc>
        <w:tc>
          <w:tcPr>
            <w:tcW w:w="1800" w:type="dxa"/>
            <w:shd w:fill="FFFFFF"/>
          </w:tcPr>
          <w:p>
            <w:r>
              <w:rPr>
                <w:sz w:val="20"/>
              </w:rPr>
              <w:t xml:space="preserve">From Jan 2029</w:t>
            </w:r>
          </w:p>
        </w:tc>
        <w:tc>
          <w:tcPr>
            <w:tcW w:w="2300" w:type="dxa"/>
            <w:shd w:fill="FFFFFF"/>
          </w:tcPr>
          <w:p>
            <w:r>
              <w:rPr>
                <w:sz w:val="20"/>
              </w:rPr>
              <w:t xml:space="preserve">India and Indonesia added</w:t>
            </w:r>
          </w:p>
        </w:tc>
        <w:tc>
          <w:tcPr>
            <w:tcW w:w="3760" w:type="dxa"/>
            <w:shd w:fill="FFFFFF"/>
          </w:tcPr>
          <w:p>
            <w:r>
              <w:rPr>
                <w:sz w:val="20"/>
              </w:rPr>
              <w:t xml:space="preserve">Large-market expansion begins only after product, compliance, risk, and operating controls mature.</w:t>
            </w:r>
          </w:p>
        </w:tc>
      </w:tr>
    </w:tbl>
    <w:p>
      <w:pPr>
        <w:pStyle w:val="Heading1"/>
      </w:pPr>
      <w:r>
        <w:t xml:space="preserve">4. Workbook Architecture</w:t>
      </w:r>
    </w:p>
    <w:p>
      <w:r>
        <w:t xml:space="preserve">The workbook is designed as a model chain. Each tab is meant to be read from left to right because each module feeds the next.</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1700"/>
        <w:gridCol w:w="3300"/>
        <w:gridCol w:w="4360"/>
      </w:tblGrid>
      <w:tr>
        <w:tc>
          <w:tcPr>
            <w:tcW w:w="1700" w:type="dxa"/>
            <w:shd w:fill="E8EEF5"/>
          </w:tcPr>
          <w:p>
            <w:r>
              <w:rPr>
                <w:b/>
                <w:sz w:val="20"/>
              </w:rPr>
              <w:t xml:space="preserve">Tab</w:t>
            </w:r>
          </w:p>
        </w:tc>
        <w:tc>
          <w:tcPr>
            <w:tcW w:w="3300" w:type="dxa"/>
            <w:shd w:fill="E8EEF5"/>
          </w:tcPr>
          <w:p>
            <w:r>
              <w:rPr>
                <w:b/>
                <w:sz w:val="20"/>
              </w:rPr>
              <w:t xml:space="preserve">Purpose</w:t>
            </w:r>
          </w:p>
        </w:tc>
        <w:tc>
          <w:tcPr>
            <w:tcW w:w="4360" w:type="dxa"/>
            <w:shd w:fill="E8EEF5"/>
          </w:tcPr>
          <w:p>
            <w:r>
              <w:rPr>
                <w:b/>
                <w:sz w:val="20"/>
              </w:rPr>
              <w:t xml:space="preserve">Investor Reading Question</w:t>
            </w:r>
          </w:p>
        </w:tc>
      </w:tr>
      <w:tr>
        <w:tc>
          <w:tcPr>
            <w:tcW w:w="1700" w:type="dxa"/>
            <w:shd w:fill="FFFFFF"/>
          </w:tcPr>
          <w:p>
            <w:r>
              <w:rPr>
                <w:sz w:val="20"/>
              </w:rPr>
              <w:t xml:space="preserve">Executive_Summary</w:t>
            </w:r>
          </w:p>
        </w:tc>
        <w:tc>
          <w:tcPr>
            <w:tcW w:w="3300" w:type="dxa"/>
            <w:shd w:fill="FFFFFF"/>
          </w:tcPr>
          <w:p>
            <w:r>
              <w:rPr>
                <w:sz w:val="20"/>
              </w:rPr>
              <w:t xml:space="preserve">Summarizes the model thesis, phasing, fixed-cost migration, and decision outputs.</w:t>
            </w:r>
          </w:p>
        </w:tc>
        <w:tc>
          <w:tcPr>
            <w:tcW w:w="4360" w:type="dxa"/>
            <w:shd w:fill="FFFFFF"/>
          </w:tcPr>
          <w:p>
            <w:r>
              <w:rPr>
                <w:sz w:val="20"/>
              </w:rPr>
              <w:t xml:space="preserve">What is the overall portfolio story?</w:t>
            </w:r>
          </w:p>
        </w:tc>
      </w:tr>
      <w:tr>
        <w:tc>
          <w:tcPr>
            <w:tcW w:w="1700" w:type="dxa"/>
            <w:shd w:fill="FFFFFF"/>
          </w:tcPr>
          <w:p>
            <w:r>
              <w:rPr>
                <w:sz w:val="20"/>
              </w:rPr>
              <w:t xml:space="preserve">Inputs_Assumptions</w:t>
            </w:r>
          </w:p>
        </w:tc>
        <w:tc>
          <w:tcPr>
            <w:tcW w:w="3300" w:type="dxa"/>
            <w:shd w:fill="FFFFFF"/>
          </w:tcPr>
          <w:p>
            <w:r>
              <w:rPr>
                <w:sz w:val="20"/>
              </w:rPr>
              <w:t xml:space="preserve">Central control sheet for commercial, risk, tax, funding, valuation, and launch assumptions.</w:t>
            </w:r>
          </w:p>
        </w:tc>
        <w:tc>
          <w:tcPr>
            <w:tcW w:w="4360" w:type="dxa"/>
            <w:shd w:fill="FFFFFF"/>
          </w:tcPr>
          <w:p>
            <w:r>
              <w:rPr>
                <w:sz w:val="20"/>
              </w:rPr>
              <w:t xml:space="preserve">Which assumptions drive the valuation?</w:t>
            </w:r>
          </w:p>
        </w:tc>
      </w:tr>
      <w:tr>
        <w:tc>
          <w:tcPr>
            <w:tcW w:w="1700" w:type="dxa"/>
            <w:shd w:fill="FFFFFF"/>
          </w:tcPr>
          <w:p>
            <w:r>
              <w:rPr>
                <w:sz w:val="20"/>
              </w:rPr>
              <w:t xml:space="preserve">Launch_Roadmap</w:t>
            </w:r>
          </w:p>
        </w:tc>
        <w:tc>
          <w:tcPr>
            <w:tcW w:w="3300" w:type="dxa"/>
            <w:shd w:fill="FFFFFF"/>
          </w:tcPr>
          <w:p>
            <w:r>
              <w:rPr>
                <w:sz w:val="20"/>
              </w:rPr>
              <w:t xml:space="preserve">Monthly Aug 2026-Dec 2031 rollout schedule.</w:t>
            </w:r>
          </w:p>
        </w:tc>
        <w:tc>
          <w:tcPr>
            <w:tcW w:w="4360" w:type="dxa"/>
            <w:shd w:fill="FFFFFF"/>
          </w:tcPr>
          <w:p>
            <w:r>
              <w:rPr>
                <w:sz w:val="20"/>
              </w:rPr>
              <w:t xml:space="preserve">When do build, licensing, pilot, and expansion phases happen?</w:t>
            </w:r>
          </w:p>
        </w:tc>
      </w:tr>
      <w:tr>
        <w:tc>
          <w:tcPr>
            <w:tcW w:w="1700" w:type="dxa"/>
            <w:shd w:fill="FFFFFF"/>
          </w:tcPr>
          <w:p>
            <w:r>
              <w:rPr>
                <w:sz w:val="20"/>
              </w:rPr>
              <w:t xml:space="preserve">Country_Portfolio</w:t>
            </w:r>
          </w:p>
        </w:tc>
        <w:tc>
          <w:tcPr>
            <w:tcW w:w="3300" w:type="dxa"/>
            <w:shd w:fill="FFFFFF"/>
          </w:tcPr>
          <w:p>
            <w:r>
              <w:rPr>
                <w:sz w:val="20"/>
              </w:rPr>
              <w:t xml:space="preserve">Country-level launch timing, TAM, ticket size, growth, and onboarding assumptions.</w:t>
            </w:r>
          </w:p>
        </w:tc>
        <w:tc>
          <w:tcPr>
            <w:tcW w:w="4360" w:type="dxa"/>
            <w:shd w:fill="FFFFFF"/>
          </w:tcPr>
          <w:p>
            <w:r>
              <w:rPr>
                <w:sz w:val="20"/>
              </w:rPr>
              <w:t xml:space="preserve">Which markets launch when and why?</w:t>
            </w:r>
          </w:p>
        </w:tc>
      </w:tr>
      <w:tr>
        <w:tc>
          <w:tcPr>
            <w:tcW w:w="1700" w:type="dxa"/>
            <w:shd w:fill="FFFFFF"/>
          </w:tcPr>
          <w:p>
            <w:r>
              <w:rPr>
                <w:sz w:val="20"/>
              </w:rPr>
              <w:t xml:space="preserve">Monthly_Model</w:t>
            </w:r>
          </w:p>
        </w:tc>
        <w:tc>
          <w:tcPr>
            <w:tcW w:w="3300" w:type="dxa"/>
            <w:shd w:fill="FFFFFF"/>
          </w:tcPr>
          <w:p>
            <w:r>
              <w:rPr>
                <w:sz w:val="20"/>
              </w:rPr>
              <w:t xml:space="preserve">Monthly transaction, revenue, variable cost, and direct country cost logic.</w:t>
            </w:r>
          </w:p>
        </w:tc>
        <w:tc>
          <w:tcPr>
            <w:tcW w:w="4360" w:type="dxa"/>
            <w:shd w:fill="FFFFFF"/>
          </w:tcPr>
          <w:p>
            <w:r>
              <w:rPr>
                <w:sz w:val="20"/>
              </w:rPr>
              <w:t xml:space="preserve">How does TAM become transactions and revenue?</w:t>
            </w:r>
          </w:p>
        </w:tc>
      </w:tr>
      <w:tr>
        <w:tc>
          <w:tcPr>
            <w:tcW w:w="1700" w:type="dxa"/>
            <w:shd w:fill="FFFFFF"/>
          </w:tcPr>
          <w:p>
            <w:r>
              <w:rPr>
                <w:sz w:val="20"/>
              </w:rPr>
              <w:t xml:space="preserve">Shared_Cost_Model</w:t>
            </w:r>
          </w:p>
        </w:tc>
        <w:tc>
          <w:tcPr>
            <w:tcW w:w="3300" w:type="dxa"/>
            <w:shd w:fill="FFFFFF"/>
          </w:tcPr>
          <w:p>
            <w:r>
              <w:rPr>
                <w:sz w:val="20"/>
              </w:rPr>
              <w:t xml:space="preserve">Central fixed-cost pool for platform and control functions.</w:t>
            </w:r>
          </w:p>
        </w:tc>
        <w:tc>
          <w:tcPr>
            <w:tcW w:w="4360" w:type="dxa"/>
            <w:shd w:fill="FFFFFF"/>
          </w:tcPr>
          <w:p>
            <w:r>
              <w:rPr>
                <w:sz w:val="20"/>
              </w:rPr>
              <w:t xml:space="preserve">Which costs are shared rather than duplicated?</w:t>
            </w:r>
          </w:p>
        </w:tc>
      </w:tr>
      <w:tr>
        <w:tc>
          <w:tcPr>
            <w:tcW w:w="1700" w:type="dxa"/>
            <w:shd w:fill="FFFFFF"/>
          </w:tcPr>
          <w:p>
            <w:r>
              <w:rPr>
                <w:sz w:val="20"/>
              </w:rPr>
              <w:t xml:space="preserve">Cost_Allocation</w:t>
            </w:r>
          </w:p>
        </w:tc>
        <w:tc>
          <w:tcPr>
            <w:tcW w:w="3300" w:type="dxa"/>
            <w:shd w:fill="FFFFFF"/>
          </w:tcPr>
          <w:p>
            <w:r>
              <w:rPr>
                <w:sz w:val="20"/>
              </w:rPr>
              <w:t xml:space="preserve">Allocates shared costs across active markets by captured-volume share.</w:t>
            </w:r>
          </w:p>
        </w:tc>
        <w:tc>
          <w:tcPr>
            <w:tcW w:w="4360" w:type="dxa"/>
            <w:shd w:fill="FFFFFF"/>
          </w:tcPr>
          <w:p>
            <w:r>
              <w:rPr>
                <w:sz w:val="20"/>
              </w:rPr>
              <w:t xml:space="preserve">How are fixed costs distributed fairly?</w:t>
            </w:r>
          </w:p>
        </w:tc>
      </w:tr>
      <w:tr>
        <w:tc>
          <w:tcPr>
            <w:tcW w:w="1700" w:type="dxa"/>
            <w:shd w:fill="FFFFFF"/>
          </w:tcPr>
          <w:p>
            <w:r>
              <w:rPr>
                <w:sz w:val="20"/>
              </w:rPr>
              <w:t xml:space="preserve">Annual_Portfolio</w:t>
            </w:r>
          </w:p>
        </w:tc>
        <w:tc>
          <w:tcPr>
            <w:tcW w:w="3300" w:type="dxa"/>
            <w:shd w:fill="FFFFFF"/>
          </w:tcPr>
          <w:p>
            <w:r>
              <w:rPr>
                <w:sz w:val="20"/>
              </w:rPr>
              <w:t xml:space="preserve">Annual consolidated revenue, cost, EBITDA, tax, and FCF.</w:t>
            </w:r>
          </w:p>
        </w:tc>
        <w:tc>
          <w:tcPr>
            <w:tcW w:w="4360" w:type="dxa"/>
            <w:shd w:fill="FFFFFF"/>
          </w:tcPr>
          <w:p>
            <w:r>
              <w:rPr>
                <w:sz w:val="20"/>
              </w:rPr>
              <w:t xml:space="preserve">What is the portfolio-level financial path?</w:t>
            </w:r>
          </w:p>
        </w:tc>
      </w:tr>
      <w:tr>
        <w:tc>
          <w:tcPr>
            <w:tcW w:w="1700" w:type="dxa"/>
            <w:shd w:fill="FFFFFF"/>
          </w:tcPr>
          <w:p>
            <w:r>
              <w:rPr>
                <w:sz w:val="20"/>
              </w:rPr>
              <w:t xml:space="preserve">Valuation</w:t>
            </w:r>
          </w:p>
        </w:tc>
        <w:tc>
          <w:tcPr>
            <w:tcW w:w="3300" w:type="dxa"/>
            <w:shd w:fill="FFFFFF"/>
          </w:tcPr>
          <w:p>
            <w:r>
              <w:rPr>
                <w:sz w:val="20"/>
              </w:rPr>
              <w:t xml:space="preserve">DCF, revenue multiple, blended EV, equity value, and investor ownership.</w:t>
            </w:r>
          </w:p>
        </w:tc>
        <w:tc>
          <w:tcPr>
            <w:tcW w:w="4360" w:type="dxa"/>
            <w:shd w:fill="FFFFFF"/>
          </w:tcPr>
          <w:p>
            <w:r>
              <w:rPr>
                <w:sz w:val="20"/>
              </w:rPr>
              <w:t xml:space="preserve">What is the indicative pre-money value?</w:t>
            </w:r>
          </w:p>
        </w:tc>
      </w:tr>
    </w:tbl>
    <w:p>
      <w:pPr>
        <w:pStyle w:val="Heading1"/>
      </w:pPr>
      <w:r>
        <w:t xml:space="preserve">5. How to Read the Model</w:t>
      </w:r>
    </w:p>
    <w:p>
      <w:r>
        <w:t xml:space="preserve">- Start with phasing, not valuation. The first investment question is whether the build/licensing period and staged country launches are credible.</w:t>
      </w:r>
    </w:p>
    <w:p>
      <w:r>
        <w:t xml:space="preserve">- Review TAM and capture assumptions by country. The model is highly sensitive to small capture-rate changes, especially in large markets such as India.</w:t>
      </w:r>
    </w:p>
    <w:p>
      <w:r>
        <w:t xml:space="preserve">- Separate remittance revenue from SNPL revenue. Transfer fees and FX margin are tied to captured remittance volume, while SNPL service revenue depends on attach and approval rates.</w:t>
      </w:r>
    </w:p>
    <w:p>
      <w:r>
        <w:t xml:space="preserve">- Read shared cost before country economics. The main purpose of consolidation is to avoid repeating the same fixed cost in every market model.</w:t>
      </w:r>
    </w:p>
    <w:p>
      <w:r>
        <w:t xml:space="preserve">- Read BEP before valuation. The model remains an investment-stage platform, so break-even trajectory and funding discipline matter as much as headline value.</w:t>
      </w:r>
    </w:p>
    <w:p>
      <w:r>
        <w:t xml:space="preserve">- Treat valuation as a range. The model combines DCF and revenue multiple logic because pre-go-live fintech platforms often have negative cash flow but strategic revenue-scale value.</w:t>
      </w:r>
    </w:p>
    <w:p>
      <w:pPr>
        <w:pStyle w:val="Heading1"/>
      </w:pPr>
      <w:r>
        <w:t xml:space="preserve">6. Key Valuation Outputs</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2600"/>
        <w:gridCol w:w="2100"/>
        <w:gridCol w:w="4660"/>
      </w:tblGrid>
      <w:tr>
        <w:tc>
          <w:tcPr>
            <w:tcW w:w="2600" w:type="dxa"/>
            <w:shd w:fill="E8EEF5"/>
          </w:tcPr>
          <w:p>
            <w:r>
              <w:rPr>
                <w:b/>
                <w:sz w:val="20"/>
              </w:rPr>
              <w:t xml:space="preserve">Output</w:t>
            </w:r>
          </w:p>
        </w:tc>
        <w:tc>
          <w:tcPr>
            <w:tcW w:w="2100" w:type="dxa"/>
            <w:shd w:fill="E8EEF5"/>
          </w:tcPr>
          <w:p>
            <w:r>
              <w:rPr>
                <w:b/>
                <w:sz w:val="20"/>
              </w:rPr>
              <w:t xml:space="preserve">Model Reading</w:t>
            </w:r>
          </w:p>
        </w:tc>
        <w:tc>
          <w:tcPr>
            <w:tcW w:w="4660" w:type="dxa"/>
            <w:shd w:fill="E8EEF5"/>
          </w:tcPr>
          <w:p>
            <w:r>
              <w:rPr>
                <w:b/>
                <w:sz w:val="20"/>
              </w:rPr>
              <w:t xml:space="preserve">Interpretation</w:t>
            </w:r>
          </w:p>
        </w:tc>
      </w:tr>
      <w:tr>
        <w:tc>
          <w:tcPr>
            <w:tcW w:w="2600" w:type="dxa"/>
            <w:shd w:fill="FFFFFF"/>
          </w:tcPr>
          <w:p>
            <w:r>
              <w:rPr>
                <w:sz w:val="20"/>
              </w:rPr>
              <w:t xml:space="preserve">2031 revenue</w:t>
            </w:r>
          </w:p>
        </w:tc>
        <w:tc>
          <w:tcPr>
            <w:tcW w:w="2100" w:type="dxa"/>
            <w:shd w:fill="FFFFFF"/>
          </w:tcPr>
          <w:p>
            <w:r>
              <w:rPr>
                <w:sz w:val="20"/>
              </w:rPr>
              <w:t xml:space="preserve">USD 32.5M</w:t>
            </w:r>
          </w:p>
        </w:tc>
        <w:tc>
          <w:tcPr>
            <w:tcW w:w="4660" w:type="dxa"/>
            <w:shd w:fill="FFFFFF"/>
          </w:tcPr>
          <w:p>
            <w:r>
              <w:rPr>
                <w:sz w:val="20"/>
              </w:rPr>
              <w:t xml:space="preserve">Commercial scale indicator and anchor for revenue-multiple valuation.</w:t>
            </w:r>
          </w:p>
        </w:tc>
      </w:tr>
      <w:tr>
        <w:tc>
          <w:tcPr>
            <w:tcW w:w="2600" w:type="dxa"/>
            <w:shd w:fill="FFFFFF"/>
          </w:tcPr>
          <w:p>
            <w:r>
              <w:rPr>
                <w:sz w:val="20"/>
              </w:rPr>
              <w:t xml:space="preserve">2031 EBITDA</w:t>
            </w:r>
          </w:p>
        </w:tc>
        <w:tc>
          <w:tcPr>
            <w:tcW w:w="2100" w:type="dxa"/>
            <w:shd w:fill="FFFFFF"/>
          </w:tcPr>
          <w:p>
            <w:r>
              <w:rPr>
                <w:sz w:val="20"/>
              </w:rPr>
              <w:t xml:space="preserve">USD 4.7M</w:t>
            </w:r>
          </w:p>
        </w:tc>
        <w:tc>
          <w:tcPr>
            <w:tcW w:w="4660" w:type="dxa"/>
            <w:shd w:fill="FFFFFF"/>
          </w:tcPr>
          <w:p>
            <w:r>
              <w:rPr>
                <w:sz w:val="20"/>
              </w:rPr>
              <w:t xml:space="preserve">Operating profitability after direct country costs and shared platform costs.</w:t>
            </w:r>
          </w:p>
        </w:tc>
      </w:tr>
      <w:tr>
        <w:tc>
          <w:tcPr>
            <w:tcW w:w="2600" w:type="dxa"/>
            <w:shd w:fill="FFFFFF"/>
          </w:tcPr>
          <w:p>
            <w:r>
              <w:rPr>
                <w:sz w:val="20"/>
              </w:rPr>
              <w:t xml:space="preserve">2031 free cash flow</w:t>
            </w:r>
          </w:p>
        </w:tc>
        <w:tc>
          <w:tcPr>
            <w:tcW w:w="2100" w:type="dxa"/>
            <w:shd w:fill="FFFFFF"/>
          </w:tcPr>
          <w:p>
            <w:r>
              <w:rPr>
                <w:sz w:val="20"/>
              </w:rPr>
              <w:t xml:space="preserve">USD 2.5M</w:t>
            </w:r>
          </w:p>
        </w:tc>
        <w:tc>
          <w:tcPr>
            <w:tcW w:w="4660" w:type="dxa"/>
            <w:shd w:fill="FFFFFF"/>
          </w:tcPr>
          <w:p>
            <w:r>
              <w:rPr>
                <w:sz w:val="20"/>
              </w:rPr>
              <w:t xml:space="preserve">Cash generation after tax, D&amp;A, and CAPEX.</w:t>
            </w:r>
          </w:p>
        </w:tc>
      </w:tr>
      <w:tr>
        <w:tc>
          <w:tcPr>
            <w:tcW w:w="2600" w:type="dxa"/>
            <w:shd w:fill="FFFFFF"/>
          </w:tcPr>
          <w:p>
            <w:r>
              <w:rPr>
                <w:sz w:val="20"/>
              </w:rPr>
              <w:t xml:space="preserve">DCF enterprise value</w:t>
            </w:r>
          </w:p>
        </w:tc>
        <w:tc>
          <w:tcPr>
            <w:tcW w:w="2100" w:type="dxa"/>
            <w:shd w:fill="FFFFFF"/>
          </w:tcPr>
          <w:p>
            <w:r>
              <w:rPr>
                <w:sz w:val="20"/>
              </w:rPr>
              <w:t xml:space="preserve">USD -24.2M</w:t>
            </w:r>
          </w:p>
        </w:tc>
        <w:tc>
          <w:tcPr>
            <w:tcW w:w="4660" w:type="dxa"/>
            <w:shd w:fill="FFFFFF"/>
          </w:tcPr>
          <w:p>
            <w:r>
              <w:rPr>
                <w:sz w:val="20"/>
              </w:rPr>
              <w:t xml:space="preserve">DCF view based on discounted free cash flows and terminal value.</w:t>
            </w:r>
          </w:p>
        </w:tc>
      </w:tr>
      <w:tr>
        <w:tc>
          <w:tcPr>
            <w:tcW w:w="2600" w:type="dxa"/>
            <w:shd w:fill="FFFFFF"/>
          </w:tcPr>
          <w:p>
            <w:r>
              <w:rPr>
                <w:sz w:val="20"/>
              </w:rPr>
              <w:t xml:space="preserve">Scenario weighted EV</w:t>
            </w:r>
          </w:p>
        </w:tc>
        <w:tc>
          <w:tcPr>
            <w:tcW w:w="2100" w:type="dxa"/>
            <w:shd w:fill="FFFFFF"/>
          </w:tcPr>
          <w:p>
            <w:r>
              <w:rPr>
                <w:sz w:val="20"/>
              </w:rPr>
              <w:t xml:space="preserve">USD 54.6M</w:t>
            </w:r>
          </w:p>
        </w:tc>
        <w:tc>
          <w:tcPr>
            <w:tcW w:w="4660" w:type="dxa"/>
            <w:shd w:fill="FFFFFF"/>
          </w:tcPr>
          <w:p>
            <w:r>
              <w:rPr>
                <w:sz w:val="20"/>
              </w:rPr>
              <w:t xml:space="preserve">Weighted blend of low, base, and high enterprise value outcomes.</w:t>
            </w:r>
          </w:p>
        </w:tc>
      </w:tr>
      <w:tr>
        <w:tc>
          <w:tcPr>
            <w:tcW w:w="2600" w:type="dxa"/>
            <w:shd w:fill="FFFFFF"/>
          </w:tcPr>
          <w:p>
            <w:r>
              <w:rPr>
                <w:sz w:val="20"/>
              </w:rPr>
              <w:t xml:space="preserve">Scenario weighted equity value</w:t>
            </w:r>
          </w:p>
        </w:tc>
        <w:tc>
          <w:tcPr>
            <w:tcW w:w="2100" w:type="dxa"/>
            <w:shd w:fill="FFFFFF"/>
          </w:tcPr>
          <w:p>
            <w:r>
              <w:rPr>
                <w:sz w:val="20"/>
              </w:rPr>
              <w:t xml:space="preserve">USD 54.6M</w:t>
            </w:r>
          </w:p>
        </w:tc>
        <w:tc>
          <w:tcPr>
            <w:tcW w:w="4660" w:type="dxa"/>
            <w:shd w:fill="FFFFFF"/>
          </w:tcPr>
          <w:p>
            <w:r>
              <w:rPr>
                <w:sz w:val="20"/>
              </w:rPr>
              <w:t xml:space="preserve">Indicative pre-money equity value before the illustrative raise.</w:t>
            </w:r>
          </w:p>
        </w:tc>
      </w:tr>
      <w:tr>
        <w:tc>
          <w:tcPr>
            <w:tcW w:w="2600" w:type="dxa"/>
            <w:shd w:fill="FFFFFF"/>
          </w:tcPr>
          <w:p>
            <w:r>
              <w:rPr>
                <w:sz w:val="20"/>
              </w:rPr>
              <w:t xml:space="preserve">Illustrative investor ownership</w:t>
            </w:r>
          </w:p>
        </w:tc>
        <w:tc>
          <w:tcPr>
            <w:tcW w:w="2100" w:type="dxa"/>
            <w:shd w:fill="FFFFFF"/>
          </w:tcPr>
          <w:p>
            <w:r>
              <w:rPr>
                <w:sz w:val="20"/>
              </w:rPr>
              <w:t xml:space="preserve">12.1%</w:t>
            </w:r>
          </w:p>
        </w:tc>
        <w:tc>
          <w:tcPr>
            <w:tcW w:w="4660" w:type="dxa"/>
            <w:shd w:fill="FFFFFF"/>
          </w:tcPr>
          <w:p>
            <w:r>
              <w:rPr>
                <w:sz w:val="20"/>
              </w:rPr>
              <w:t xml:space="preserve">Ownership based on the current raise assumption divided by post-money equity value.</w:t>
            </w:r>
          </w:p>
        </w:tc>
      </w:tr>
    </w:tbl>
    <w:p>
      <w:r>
        <w:t xml:space="preserve">Important investor interpretation. The global valuation is not justified by current profit. It is justified by the probability-weighted potential of a shared regulated platform, multi-country remittance capture, SNPL credit monetization, and operating leverage after fixed-cost migration.</w:t>
      </w:r>
    </w:p>
    <w:p>
      <w:pPr>
        <w:pStyle w:val="Heading1"/>
      </w:pPr>
      <w:r>
        <w:t xml:space="preserve">7. Fixed-Cost Migration Logic</w:t>
      </w:r>
    </w:p>
    <w:p>
      <w:r>
        <w:t xml:space="preserve">The key design improvement in the global model is that fixed costs are not simply added country by country. The model creates a central shared-cost pool and allocates it to active markets. This better reflects how a real platform company should operate: one product core, one data/control layer, one security baseline, one finance/risk governance model, and market-specific extensions around that core.</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2600"/>
        <w:gridCol w:w="3300"/>
        <w:gridCol w:w="3460"/>
      </w:tblGrid>
      <w:tr>
        <w:tc>
          <w:tcPr>
            <w:tcW w:w="2600" w:type="dxa"/>
            <w:shd w:fill="E8EEF5"/>
          </w:tcPr>
          <w:p>
            <w:r>
              <w:rPr>
                <w:b/>
                <w:sz w:val="20"/>
              </w:rPr>
              <w:t xml:space="preserve">Cost Area</w:t>
            </w:r>
          </w:p>
        </w:tc>
        <w:tc>
          <w:tcPr>
            <w:tcW w:w="3300" w:type="dxa"/>
            <w:shd w:fill="E8EEF5"/>
          </w:tcPr>
          <w:p>
            <w:r>
              <w:rPr>
                <w:b/>
                <w:sz w:val="20"/>
              </w:rPr>
              <w:t xml:space="preserve">Treatment in Global Model</w:t>
            </w:r>
          </w:p>
        </w:tc>
        <w:tc>
          <w:tcPr>
            <w:tcW w:w="3460" w:type="dxa"/>
            <w:shd w:fill="E8EEF5"/>
          </w:tcPr>
          <w:p>
            <w:r>
              <w:rPr>
                <w:b/>
                <w:sz w:val="20"/>
              </w:rPr>
              <w:t xml:space="preserve">Reason</w:t>
            </w:r>
          </w:p>
        </w:tc>
      </w:tr>
      <w:tr>
        <w:tc>
          <w:tcPr>
            <w:tcW w:w="2600" w:type="dxa"/>
            <w:shd w:fill="FFFFFF"/>
          </w:tcPr>
          <w:p>
            <w:r>
              <w:rPr>
                <w:sz w:val="20"/>
              </w:rPr>
              <w:t xml:space="preserve">Product and engineering</w:t>
            </w:r>
          </w:p>
        </w:tc>
        <w:tc>
          <w:tcPr>
            <w:tcW w:w="3300" w:type="dxa"/>
            <w:shd w:fill="FFFFFF"/>
          </w:tcPr>
          <w:p>
            <w:r>
              <w:rPr>
                <w:sz w:val="20"/>
              </w:rPr>
              <w:t xml:space="preserve">Central shared platform cost</w:t>
            </w:r>
          </w:p>
        </w:tc>
        <w:tc>
          <w:tcPr>
            <w:tcW w:w="3460" w:type="dxa"/>
            <w:shd w:fill="FFFFFF"/>
          </w:tcPr>
          <w:p>
            <w:r>
              <w:rPr>
                <w:sz w:val="20"/>
              </w:rPr>
              <w:t xml:space="preserve">Core platform, APIs, ledgers, workflow, and controls serve all countries.</w:t>
            </w:r>
          </w:p>
        </w:tc>
      </w:tr>
      <w:tr>
        <w:tc>
          <w:tcPr>
            <w:tcW w:w="2600" w:type="dxa"/>
            <w:shd w:fill="FFFFFF"/>
          </w:tcPr>
          <w:p>
            <w:r>
              <w:rPr>
                <w:sz w:val="20"/>
              </w:rPr>
              <w:t xml:space="preserve">Regulatory and licensing</w:t>
            </w:r>
          </w:p>
        </w:tc>
        <w:tc>
          <w:tcPr>
            <w:tcW w:w="3300" w:type="dxa"/>
            <w:shd w:fill="FFFFFF"/>
          </w:tcPr>
          <w:p>
            <w:r>
              <w:rPr>
                <w:sz w:val="20"/>
              </w:rPr>
              <w:t xml:space="preserve">Central plus market-specific effort</w:t>
            </w:r>
          </w:p>
        </w:tc>
        <w:tc>
          <w:tcPr>
            <w:tcW w:w="3460" w:type="dxa"/>
            <w:shd w:fill="FFFFFF"/>
          </w:tcPr>
          <w:p>
            <w:r>
              <w:rPr>
                <w:sz w:val="20"/>
              </w:rPr>
              <w:t xml:space="preserve">Policy framework is shared, while license work remains market-specific.</w:t>
            </w:r>
          </w:p>
        </w:tc>
      </w:tr>
      <w:tr>
        <w:tc>
          <w:tcPr>
            <w:tcW w:w="2600" w:type="dxa"/>
            <w:shd w:fill="FFFFFF"/>
          </w:tcPr>
          <w:p>
            <w:r>
              <w:rPr>
                <w:sz w:val="20"/>
              </w:rPr>
              <w:t xml:space="preserve">Cloud, database, hardware</w:t>
            </w:r>
          </w:p>
        </w:tc>
        <w:tc>
          <w:tcPr>
            <w:tcW w:w="3300" w:type="dxa"/>
            <w:shd w:fill="FFFFFF"/>
          </w:tcPr>
          <w:p>
            <w:r>
              <w:rPr>
                <w:sz w:val="20"/>
              </w:rPr>
              <w:t xml:space="preserve">Central shared cost</w:t>
            </w:r>
          </w:p>
        </w:tc>
        <w:tc>
          <w:tcPr>
            <w:tcW w:w="3460" w:type="dxa"/>
            <w:shd w:fill="FFFFFF"/>
          </w:tcPr>
          <w:p>
            <w:r>
              <w:rPr>
                <w:sz w:val="20"/>
              </w:rPr>
              <w:t xml:space="preserve">Infrastructure scales by usage but does not restart for each country.</w:t>
            </w:r>
          </w:p>
        </w:tc>
      </w:tr>
      <w:tr>
        <w:tc>
          <w:tcPr>
            <w:tcW w:w="2600" w:type="dxa"/>
            <w:shd w:fill="FFFFFF"/>
          </w:tcPr>
          <w:p>
            <w:r>
              <w:rPr>
                <w:sz w:val="20"/>
              </w:rPr>
              <w:t xml:space="preserve">External vendors, audit, legal</w:t>
            </w:r>
          </w:p>
        </w:tc>
        <w:tc>
          <w:tcPr>
            <w:tcW w:w="3300" w:type="dxa"/>
            <w:shd w:fill="FFFFFF"/>
          </w:tcPr>
          <w:p>
            <w:r>
              <w:rPr>
                <w:sz w:val="20"/>
              </w:rPr>
              <w:t xml:space="preserve">Central baseline plus local counsel where required</w:t>
            </w:r>
          </w:p>
        </w:tc>
        <w:tc>
          <w:tcPr>
            <w:tcW w:w="3460" w:type="dxa"/>
            <w:shd w:fill="FFFFFF"/>
          </w:tcPr>
          <w:p>
            <w:r>
              <w:rPr>
                <w:sz w:val="20"/>
              </w:rPr>
              <w:t xml:space="preserve">Big 4, legal, cybersecurity, and advisory costs should be scoped once where possible.</w:t>
            </w:r>
          </w:p>
        </w:tc>
      </w:tr>
      <w:tr>
        <w:tc>
          <w:tcPr>
            <w:tcW w:w="2600" w:type="dxa"/>
            <w:shd w:fill="FFFFFF"/>
          </w:tcPr>
          <w:p>
            <w:r>
              <w:rPr>
                <w:sz w:val="20"/>
              </w:rPr>
              <w:t xml:space="preserve">MTO and creditor onboarding</w:t>
            </w:r>
          </w:p>
        </w:tc>
        <w:tc>
          <w:tcPr>
            <w:tcW w:w="3300" w:type="dxa"/>
            <w:shd w:fill="FFFFFF"/>
          </w:tcPr>
          <w:p>
            <w:r>
              <w:rPr>
                <w:sz w:val="20"/>
              </w:rPr>
              <w:t xml:space="preserve">Country direct launch cost</w:t>
            </w:r>
          </w:p>
        </w:tc>
        <w:tc>
          <w:tcPr>
            <w:tcW w:w="3460" w:type="dxa"/>
            <w:shd w:fill="FFFFFF"/>
          </w:tcPr>
          <w:p>
            <w:r>
              <w:rPr>
                <w:sz w:val="20"/>
              </w:rPr>
              <w:t xml:space="preserve">Partner activation remains market-specific and is spread around launch timing.</w:t>
            </w:r>
          </w:p>
        </w:tc>
      </w:tr>
      <w:tr>
        <w:tc>
          <w:tcPr>
            <w:tcW w:w="2600" w:type="dxa"/>
            <w:shd w:fill="FFFFFF"/>
          </w:tcPr>
          <w:p>
            <w:r>
              <w:rPr>
                <w:sz w:val="20"/>
              </w:rPr>
              <w:t xml:space="preserve">Marketing and business development</w:t>
            </w:r>
          </w:p>
        </w:tc>
        <w:tc>
          <w:tcPr>
            <w:tcW w:w="3300" w:type="dxa"/>
            <w:shd w:fill="FFFFFF"/>
          </w:tcPr>
          <w:p>
            <w:r>
              <w:rPr>
                <w:sz w:val="20"/>
              </w:rPr>
              <w:t xml:space="preserve">Shared platform plus country launch budgets</w:t>
            </w:r>
          </w:p>
        </w:tc>
        <w:tc>
          <w:tcPr>
            <w:tcW w:w="3460" w:type="dxa"/>
            <w:shd w:fill="FFFFFF"/>
          </w:tcPr>
          <w:p>
            <w:r>
              <w:rPr>
                <w:sz w:val="20"/>
              </w:rPr>
              <w:t xml:space="preserve">Brand/platform work is shared; local activation is market specific.</w:t>
            </w:r>
          </w:p>
        </w:tc>
      </w:tr>
    </w:tbl>
    <w:p>
      <w:pPr>
        <w:pStyle w:val="Heading1"/>
      </w:pPr>
      <w:r>
        <w:t xml:space="preserve">8. Revenue Logic</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2300"/>
        <w:gridCol w:w="3500"/>
        <w:gridCol w:w="3560"/>
      </w:tblGrid>
      <w:tr>
        <w:tc>
          <w:tcPr>
            <w:tcW w:w="2300" w:type="dxa"/>
            <w:shd w:fill="E8EEF5"/>
          </w:tcPr>
          <w:p>
            <w:r>
              <w:rPr>
                <w:b/>
                <w:sz w:val="20"/>
              </w:rPr>
              <w:t xml:space="preserve">Revenue Stream</w:t>
            </w:r>
          </w:p>
        </w:tc>
        <w:tc>
          <w:tcPr>
            <w:tcW w:w="3500" w:type="dxa"/>
            <w:shd w:fill="E8EEF5"/>
          </w:tcPr>
          <w:p>
            <w:r>
              <w:rPr>
                <w:b/>
                <w:sz w:val="20"/>
              </w:rPr>
              <w:t xml:space="preserve">Formula Logic</w:t>
            </w:r>
          </w:p>
        </w:tc>
        <w:tc>
          <w:tcPr>
            <w:tcW w:w="3560" w:type="dxa"/>
            <w:shd w:fill="E8EEF5"/>
          </w:tcPr>
          <w:p>
            <w:r>
              <w:rPr>
                <w:b/>
                <w:sz w:val="20"/>
              </w:rPr>
              <w:t xml:space="preserve">Investor Comment</w:t>
            </w:r>
          </w:p>
        </w:tc>
      </w:tr>
      <w:tr>
        <w:tc>
          <w:tcPr>
            <w:tcW w:w="2300" w:type="dxa"/>
            <w:shd w:fill="FFFFFF"/>
          </w:tcPr>
          <w:p>
            <w:r>
              <w:rPr>
                <w:sz w:val="20"/>
              </w:rPr>
              <w:t xml:space="preserve">Transfer fee revenue</w:t>
            </w:r>
          </w:p>
        </w:tc>
        <w:tc>
          <w:tcPr>
            <w:tcW w:w="3500" w:type="dxa"/>
            <w:shd w:fill="FFFFFF"/>
          </w:tcPr>
          <w:p>
            <w:r>
              <w:rPr>
                <w:sz w:val="20"/>
              </w:rPr>
              <w:t xml:space="preserve">Captured remittance volume multiplied by transfer-fee take-rate.</w:t>
            </w:r>
          </w:p>
        </w:tc>
        <w:tc>
          <w:tcPr>
            <w:tcW w:w="3560" w:type="dxa"/>
            <w:shd w:fill="FFFFFF"/>
          </w:tcPr>
          <w:p>
            <w:r>
              <w:rPr>
                <w:sz w:val="20"/>
              </w:rPr>
              <w:t xml:space="preserve">Core remittance monetization; depends on pricing power and partner channel economics.</w:t>
            </w:r>
          </w:p>
        </w:tc>
      </w:tr>
      <w:tr>
        <w:tc>
          <w:tcPr>
            <w:tcW w:w="2300" w:type="dxa"/>
            <w:shd w:fill="FFFFFF"/>
          </w:tcPr>
          <w:p>
            <w:r>
              <w:rPr>
                <w:sz w:val="20"/>
              </w:rPr>
              <w:t xml:space="preserve">FX margin revenue</w:t>
            </w:r>
          </w:p>
        </w:tc>
        <w:tc>
          <w:tcPr>
            <w:tcW w:w="3500" w:type="dxa"/>
            <w:shd w:fill="FFFFFF"/>
          </w:tcPr>
          <w:p>
            <w:r>
              <w:rPr>
                <w:sz w:val="20"/>
              </w:rPr>
              <w:t xml:space="preserve">Captured remittance volume multiplied by FX margin take-rate.</w:t>
            </w:r>
          </w:p>
        </w:tc>
        <w:tc>
          <w:tcPr>
            <w:tcW w:w="3560" w:type="dxa"/>
            <w:shd w:fill="FFFFFF"/>
          </w:tcPr>
          <w:p>
            <w:r>
              <w:rPr>
                <w:sz w:val="20"/>
              </w:rPr>
              <w:t xml:space="preserve">Sensitive to corridor pricing, settlement rails, and competitive pressure.</w:t>
            </w:r>
          </w:p>
        </w:tc>
      </w:tr>
      <w:tr>
        <w:tc>
          <w:tcPr>
            <w:tcW w:w="2300" w:type="dxa"/>
            <w:shd w:fill="FFFFFF"/>
          </w:tcPr>
          <w:p>
            <w:r>
              <w:rPr>
                <w:sz w:val="20"/>
              </w:rPr>
              <w:t xml:space="preserve">SNPL service revenue</w:t>
            </w:r>
          </w:p>
        </w:tc>
        <w:tc>
          <w:tcPr>
            <w:tcW w:w="3500" w:type="dxa"/>
            <w:shd w:fill="FFFFFF"/>
          </w:tcPr>
          <w:p>
            <w:r>
              <w:rPr>
                <w:sz w:val="20"/>
              </w:rPr>
              <w:t xml:space="preserve">Approved SNPL volume multiplied by service fee rate.</w:t>
            </w:r>
          </w:p>
        </w:tc>
        <w:tc>
          <w:tcPr>
            <w:tcW w:w="3560" w:type="dxa"/>
            <w:shd w:fill="FFFFFF"/>
          </w:tcPr>
          <w:p>
            <w:r>
              <w:rPr>
                <w:sz w:val="20"/>
              </w:rPr>
              <w:t xml:space="preserve">Primary differentiation from normal remittance products.</w:t>
            </w:r>
          </w:p>
        </w:tc>
      </w:tr>
      <w:tr>
        <w:tc>
          <w:tcPr>
            <w:tcW w:w="2300" w:type="dxa"/>
            <w:shd w:fill="FFFFFF"/>
          </w:tcPr>
          <w:p>
            <w:r>
              <w:rPr>
                <w:sz w:val="20"/>
              </w:rPr>
              <w:t xml:space="preserve">Late / recovery income</w:t>
            </w:r>
          </w:p>
        </w:tc>
        <w:tc>
          <w:tcPr>
            <w:tcW w:w="3500" w:type="dxa"/>
            <w:shd w:fill="FFFFFF"/>
          </w:tcPr>
          <w:p>
            <w:r>
              <w:rPr>
                <w:sz w:val="20"/>
              </w:rPr>
              <w:t xml:space="preserve">Approved SNPL volume multiplied by conservative recovery-income rate.</w:t>
            </w:r>
          </w:p>
        </w:tc>
        <w:tc>
          <w:tcPr>
            <w:tcW w:w="3560" w:type="dxa"/>
            <w:shd w:fill="FFFFFF"/>
          </w:tcPr>
          <w:p>
            <w:r>
              <w:rPr>
                <w:sz w:val="20"/>
              </w:rPr>
              <w:t xml:space="preserve">Should be treated as secondary income, not the investment thesis.</w:t>
            </w:r>
          </w:p>
        </w:tc>
      </w:tr>
      <w:tr>
        <w:tc>
          <w:tcPr>
            <w:tcW w:w="2300" w:type="dxa"/>
            <w:shd w:fill="FFFFFF"/>
          </w:tcPr>
          <w:p>
            <w:r>
              <w:rPr>
                <w:sz w:val="20"/>
              </w:rPr>
              <w:t xml:space="preserve">Other income</w:t>
            </w:r>
          </w:p>
        </w:tc>
        <w:tc>
          <w:tcPr>
            <w:tcW w:w="3500" w:type="dxa"/>
            <w:shd w:fill="FFFFFF"/>
          </w:tcPr>
          <w:p>
            <w:r>
              <w:rPr>
                <w:sz w:val="20"/>
              </w:rPr>
              <w:t xml:space="preserve">Transaction count multiplied by ancillary income per transaction.</w:t>
            </w:r>
          </w:p>
        </w:tc>
        <w:tc>
          <w:tcPr>
            <w:tcW w:w="3560" w:type="dxa"/>
            <w:shd w:fill="FFFFFF"/>
          </w:tcPr>
          <w:p>
            <w:r>
              <w:rPr>
                <w:sz w:val="20"/>
              </w:rPr>
              <w:t xml:space="preserve">Placeholder for notifications, account services, or minor platform fees.</w:t>
            </w:r>
          </w:p>
        </w:tc>
      </w:tr>
    </w:tbl>
    <w:p>
      <w:pPr>
        <w:pStyle w:val="Heading1"/>
      </w:pPr>
      <w:r>
        <w:t xml:space="preserve">9. Financial Statement and Break-Even Logic</w:t>
      </w:r>
    </w:p>
    <w:p>
      <w:r>
        <w:t xml:space="preserve">The Annual_Portfolio tab translates monthly activity into consolidated annual revenue, processing cost, expected credit loss, funding cost, gross profit, direct country cost, shared platform cost, EBITDA, CAPEX, depreciation and amortization, EBIT, tax, net income, and free cash flow.</w:t>
      </w:r>
    </w:p>
    <w:p>
      <w:r>
        <w:t xml:space="preserve">The BEP view should be read as a funding-discipline tool. It shows whether the platform is moving toward scale economics after the initial build and multi-country rollout. A negative early-year cash-flow profile is expected for a regulated pre-operating platform, but the burn must be controlled and tied to launch milestones.</w:t>
      </w:r>
    </w:p>
    <w:p>
      <w:pPr>
        <w:pStyle w:val="Heading1"/>
      </w:pPr>
      <w:r>
        <w:t xml:space="preserve">10. Valuation Methodology</w:t>
      </w:r>
    </w:p>
    <w:p>
      <w:r>
        <w:t xml:space="preserve">The valuation tab uses two valuation lenses. The DCF method discounts projected free cash flows and terminal value using a high pre-operating discount rate. The revenue multiple method applies low, base, and high EV/revenue multiples to 2031 revenue. The blended cases average DCF and revenue multiple views, then the scenario-weighted EV applies probability weights to low, base, and high outcomes.</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2200"/>
        <w:gridCol w:w="3600"/>
        <w:gridCol w:w="3560"/>
      </w:tblGrid>
      <w:tr>
        <w:tc>
          <w:tcPr>
            <w:tcW w:w="2200" w:type="dxa"/>
            <w:shd w:fill="E8EEF5"/>
          </w:tcPr>
          <w:p>
            <w:r>
              <w:rPr>
                <w:b/>
                <w:sz w:val="20"/>
              </w:rPr>
              <w:t xml:space="preserve">Method</w:t>
            </w:r>
          </w:p>
        </w:tc>
        <w:tc>
          <w:tcPr>
            <w:tcW w:w="3600" w:type="dxa"/>
            <w:shd w:fill="E8EEF5"/>
          </w:tcPr>
          <w:p>
            <w:r>
              <w:rPr>
                <w:b/>
                <w:sz w:val="20"/>
              </w:rPr>
              <w:t xml:space="preserve">What It Captures</w:t>
            </w:r>
          </w:p>
        </w:tc>
        <w:tc>
          <w:tcPr>
            <w:tcW w:w="3560" w:type="dxa"/>
            <w:shd w:fill="E8EEF5"/>
          </w:tcPr>
          <w:p>
            <w:r>
              <w:rPr>
                <w:b/>
                <w:sz w:val="20"/>
              </w:rPr>
              <w:t xml:space="preserve">What It Misses</w:t>
            </w:r>
          </w:p>
        </w:tc>
      </w:tr>
      <w:tr>
        <w:tc>
          <w:tcPr>
            <w:tcW w:w="2200" w:type="dxa"/>
            <w:shd w:fill="FFFFFF"/>
          </w:tcPr>
          <w:p>
            <w:r>
              <w:rPr>
                <w:sz w:val="20"/>
              </w:rPr>
              <w:t xml:space="preserve">DCF</w:t>
            </w:r>
          </w:p>
        </w:tc>
        <w:tc>
          <w:tcPr>
            <w:tcW w:w="3600" w:type="dxa"/>
            <w:shd w:fill="FFFFFF"/>
          </w:tcPr>
          <w:p>
            <w:r>
              <w:rPr>
                <w:sz w:val="20"/>
              </w:rPr>
              <w:t xml:space="preserve">Cash burn, funding need, terminal cash generation, and risk-adjusted time value.</w:t>
            </w:r>
          </w:p>
        </w:tc>
        <w:tc>
          <w:tcPr>
            <w:tcW w:w="3560" w:type="dxa"/>
            <w:shd w:fill="FFFFFF"/>
          </w:tcPr>
          <w:p>
            <w:r>
              <w:rPr>
                <w:sz w:val="20"/>
              </w:rPr>
              <w:t xml:space="preserve">Can understate strategic value when a pre-profit platform is still building network effects.</w:t>
            </w:r>
          </w:p>
        </w:tc>
      </w:tr>
      <w:tr>
        <w:tc>
          <w:tcPr>
            <w:tcW w:w="2200" w:type="dxa"/>
            <w:shd w:fill="FFFFFF"/>
          </w:tcPr>
          <w:p>
            <w:r>
              <w:rPr>
                <w:sz w:val="20"/>
              </w:rPr>
              <w:t xml:space="preserve">Revenue multiple</w:t>
            </w:r>
          </w:p>
        </w:tc>
        <w:tc>
          <w:tcPr>
            <w:tcW w:w="3600" w:type="dxa"/>
            <w:shd w:fill="FFFFFF"/>
          </w:tcPr>
          <w:p>
            <w:r>
              <w:rPr>
                <w:sz w:val="20"/>
              </w:rPr>
              <w:t xml:space="preserve">Platform scale, fintech/remittance comparability, and revenue optionality.</w:t>
            </w:r>
          </w:p>
        </w:tc>
        <w:tc>
          <w:tcPr>
            <w:tcW w:w="3560" w:type="dxa"/>
            <w:shd w:fill="FFFFFF"/>
          </w:tcPr>
          <w:p>
            <w:r>
              <w:rPr>
                <w:sz w:val="20"/>
              </w:rPr>
              <w:t xml:space="preserve">Can overstate value if margins, credit performance, or regulatory approvals are not proven.</w:t>
            </w:r>
          </w:p>
        </w:tc>
      </w:tr>
      <w:tr>
        <w:tc>
          <w:tcPr>
            <w:tcW w:w="2200" w:type="dxa"/>
            <w:shd w:fill="FFFFFF"/>
          </w:tcPr>
          <w:p>
            <w:r>
              <w:rPr>
                <w:sz w:val="20"/>
              </w:rPr>
              <w:t xml:space="preserve">Scenario weighting</w:t>
            </w:r>
          </w:p>
        </w:tc>
        <w:tc>
          <w:tcPr>
            <w:tcW w:w="3600" w:type="dxa"/>
            <w:shd w:fill="FFFFFF"/>
          </w:tcPr>
          <w:p>
            <w:r>
              <w:rPr>
                <w:sz w:val="20"/>
              </w:rPr>
              <w:t xml:space="preserve">Balances downside, base, and upside views.</w:t>
            </w:r>
          </w:p>
        </w:tc>
        <w:tc>
          <w:tcPr>
            <w:tcW w:w="3560" w:type="dxa"/>
            <w:shd w:fill="FFFFFF"/>
          </w:tcPr>
          <w:p>
            <w:r>
              <w:rPr>
                <w:sz w:val="20"/>
              </w:rPr>
              <w:t xml:space="preserve">Still depends on management judgment and investor risk appetite.</w:t>
            </w:r>
          </w:p>
        </w:tc>
      </w:tr>
    </w:tbl>
    <w:p>
      <w:pPr>
        <w:pStyle w:val="Heading1"/>
      </w:pPr>
      <w:r>
        <w:t xml:space="preserve">11. Evidence Base and Trust Points</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2000"/>
        <w:gridCol w:w="2500"/>
        <w:gridCol w:w="2500"/>
        <w:gridCol w:w="2360"/>
      </w:tblGrid>
      <w:tr>
        <w:tc>
          <w:tcPr>
            <w:tcW w:w="2000" w:type="dxa"/>
            <w:shd w:fill="E8EEF5"/>
          </w:tcPr>
          <w:p>
            <w:r>
              <w:rPr>
                <w:b/>
                <w:sz w:val="20"/>
              </w:rPr>
              <w:t xml:space="preserve">Evidence Area</w:t>
            </w:r>
          </w:p>
        </w:tc>
        <w:tc>
          <w:tcPr>
            <w:tcW w:w="2500" w:type="dxa"/>
            <w:shd w:fill="E8EEF5"/>
          </w:tcPr>
          <w:p>
            <w:r>
              <w:rPr>
                <w:b/>
                <w:sz w:val="20"/>
              </w:rPr>
              <w:t xml:space="preserve">Basis</w:t>
            </w:r>
          </w:p>
        </w:tc>
        <w:tc>
          <w:tcPr>
            <w:tcW w:w="2500" w:type="dxa"/>
            <w:shd w:fill="E8EEF5"/>
          </w:tcPr>
          <w:p>
            <w:r>
              <w:rPr>
                <w:b/>
                <w:sz w:val="20"/>
              </w:rPr>
              <w:t xml:space="preserve">Trust Point</w:t>
            </w:r>
          </w:p>
        </w:tc>
        <w:tc>
          <w:tcPr>
            <w:tcW w:w="2360" w:type="dxa"/>
            <w:shd w:fill="E8EEF5"/>
          </w:tcPr>
          <w:p>
            <w:r>
              <w:rPr>
                <w:b/>
                <w:sz w:val="20"/>
              </w:rPr>
              <w:t xml:space="preserve">Limitation</w:t>
            </w:r>
          </w:p>
        </w:tc>
      </w:tr>
      <w:tr>
        <w:tc>
          <w:tcPr>
            <w:tcW w:w="2000" w:type="dxa"/>
            <w:shd w:fill="FFFFFF"/>
          </w:tcPr>
          <w:p>
            <w:r>
              <w:rPr>
                <w:sz w:val="20"/>
              </w:rPr>
              <w:t xml:space="preserve">Country valuation models</w:t>
            </w:r>
          </w:p>
        </w:tc>
        <w:tc>
          <w:tcPr>
            <w:tcW w:w="2500" w:type="dxa"/>
            <w:shd w:fill="FFFFFF"/>
          </w:tcPr>
          <w:p>
            <w:r>
              <w:rPr>
                <w:sz w:val="20"/>
              </w:rPr>
              <w:t xml:space="preserve">Egypt, Morocco, Philippines, India, and Indonesia standalone workbooks.</w:t>
            </w:r>
          </w:p>
        </w:tc>
        <w:tc>
          <w:tcPr>
            <w:tcW w:w="2500" w:type="dxa"/>
            <w:shd w:fill="FFFFFF"/>
          </w:tcPr>
          <w:p>
            <w:r>
              <w:rPr>
                <w:sz w:val="20"/>
              </w:rPr>
              <w:t xml:space="preserve">Provides source lineage and country-specific assumptions.</w:t>
            </w:r>
          </w:p>
        </w:tc>
        <w:tc>
          <w:tcPr>
            <w:tcW w:w="2360" w:type="dxa"/>
            <w:shd w:fill="FFFFFF"/>
          </w:tcPr>
          <w:p>
            <w:r>
              <w:rPr>
                <w:sz w:val="20"/>
              </w:rPr>
              <w:t xml:space="preserve">Global model normalizes assumptions and does not reproduce every country workbook formula.</w:t>
            </w:r>
          </w:p>
        </w:tc>
      </w:tr>
      <w:tr>
        <w:tc>
          <w:tcPr>
            <w:tcW w:w="2000" w:type="dxa"/>
            <w:shd w:fill="FFFFFF"/>
          </w:tcPr>
          <w:p>
            <w:r>
              <w:rPr>
                <w:sz w:val="20"/>
              </w:rPr>
              <w:t xml:space="preserve">Remittance TAM</w:t>
            </w:r>
          </w:p>
        </w:tc>
        <w:tc>
          <w:tcPr>
            <w:tcW w:w="2500" w:type="dxa"/>
            <w:shd w:fill="FFFFFF"/>
          </w:tcPr>
          <w:p>
            <w:r>
              <w:rPr>
                <w:sz w:val="20"/>
              </w:rPr>
              <w:t xml:space="preserve">Country remittance and selected-corridor models previously prepared.</w:t>
            </w:r>
          </w:p>
        </w:tc>
        <w:tc>
          <w:tcPr>
            <w:tcW w:w="2500" w:type="dxa"/>
            <w:shd w:fill="FFFFFF"/>
          </w:tcPr>
          <w:p>
            <w:r>
              <w:rPr>
                <w:sz w:val="20"/>
              </w:rPr>
              <w:t xml:space="preserve">Creates transparent country-by-country addressable volume logic.</w:t>
            </w:r>
          </w:p>
        </w:tc>
        <w:tc>
          <w:tcPr>
            <w:tcW w:w="2360" w:type="dxa"/>
            <w:shd w:fill="FFFFFF"/>
          </w:tcPr>
          <w:p>
            <w:r>
              <w:rPr>
                <w:sz w:val="20"/>
              </w:rPr>
              <w:t xml:space="preserve">Some corridors rely on modeled allocations where direct bilateral disclosure is limited.</w:t>
            </w:r>
          </w:p>
        </w:tc>
      </w:tr>
      <w:tr>
        <w:tc>
          <w:tcPr>
            <w:tcW w:w="2000" w:type="dxa"/>
            <w:shd w:fill="FFFFFF"/>
          </w:tcPr>
          <w:p>
            <w:r>
              <w:rPr>
                <w:sz w:val="20"/>
              </w:rPr>
              <w:t xml:space="preserve">Revenue economics</w:t>
            </w:r>
          </w:p>
        </w:tc>
        <w:tc>
          <w:tcPr>
            <w:tcW w:w="2500" w:type="dxa"/>
            <w:shd w:fill="FFFFFF"/>
          </w:tcPr>
          <w:p>
            <w:r>
              <w:rPr>
                <w:sz w:val="20"/>
              </w:rPr>
              <w:t xml:space="preserve">Remittance and credit-enabled payment benchmarks used across prior models.</w:t>
            </w:r>
          </w:p>
        </w:tc>
        <w:tc>
          <w:tcPr>
            <w:tcW w:w="2500" w:type="dxa"/>
            <w:shd w:fill="FFFFFF"/>
          </w:tcPr>
          <w:p>
            <w:r>
              <w:rPr>
                <w:sz w:val="20"/>
              </w:rPr>
              <w:t xml:space="preserve">Separates transfer fees, FX margin, SNPL service revenue, and recovery income.</w:t>
            </w:r>
          </w:p>
        </w:tc>
        <w:tc>
          <w:tcPr>
            <w:tcW w:w="2360" w:type="dxa"/>
            <w:shd w:fill="FFFFFF"/>
          </w:tcPr>
          <w:p>
            <w:r>
              <w:rPr>
                <w:sz w:val="20"/>
              </w:rPr>
              <w:t xml:space="preserve">Peer economics vary by geography and product mix.</w:t>
            </w:r>
          </w:p>
        </w:tc>
      </w:tr>
      <w:tr>
        <w:tc>
          <w:tcPr>
            <w:tcW w:w="2000" w:type="dxa"/>
            <w:shd w:fill="FFFFFF"/>
          </w:tcPr>
          <w:p>
            <w:r>
              <w:rPr>
                <w:sz w:val="20"/>
              </w:rPr>
              <w:t xml:space="preserve">Cost structure</w:t>
            </w:r>
          </w:p>
        </w:tc>
        <w:tc>
          <w:tcPr>
            <w:tcW w:w="2500" w:type="dxa"/>
            <w:shd w:fill="FFFFFF"/>
          </w:tcPr>
          <w:p>
            <w:r>
              <w:rPr>
                <w:sz w:val="20"/>
              </w:rPr>
              <w:t xml:space="preserve">Shared platform plus country launch cost architecture.</w:t>
            </w:r>
          </w:p>
        </w:tc>
        <w:tc>
          <w:tcPr>
            <w:tcW w:w="2500" w:type="dxa"/>
            <w:shd w:fill="FFFFFF"/>
          </w:tcPr>
          <w:p>
            <w:r>
              <w:rPr>
                <w:sz w:val="20"/>
              </w:rPr>
              <w:t xml:space="preserve">More realistic than duplicating fixed cost by country.</w:t>
            </w:r>
          </w:p>
        </w:tc>
        <w:tc>
          <w:tcPr>
            <w:tcW w:w="2360" w:type="dxa"/>
            <w:shd w:fill="FFFFFF"/>
          </w:tcPr>
          <w:p>
            <w:r>
              <w:rPr>
                <w:sz w:val="20"/>
              </w:rPr>
              <w:t xml:space="preserve">Vendor quotes and local legal costs still need validation.</w:t>
            </w:r>
          </w:p>
        </w:tc>
      </w:tr>
      <w:tr>
        <w:tc>
          <w:tcPr>
            <w:tcW w:w="2000" w:type="dxa"/>
            <w:shd w:fill="FFFFFF"/>
          </w:tcPr>
          <w:p>
            <w:r>
              <w:rPr>
                <w:sz w:val="20"/>
              </w:rPr>
              <w:t xml:space="preserve">Regulatory timing</w:t>
            </w:r>
          </w:p>
        </w:tc>
        <w:tc>
          <w:tcPr>
            <w:tcW w:w="2500" w:type="dxa"/>
            <w:shd w:fill="FFFFFF"/>
          </w:tcPr>
          <w:p>
            <w:r>
              <w:rPr>
                <w:sz w:val="20"/>
              </w:rPr>
              <w:t xml:space="preserve">8-12 month MVP/licensing window requested by management.</w:t>
            </w:r>
          </w:p>
        </w:tc>
        <w:tc>
          <w:tcPr>
            <w:tcW w:w="2500" w:type="dxa"/>
            <w:shd w:fill="FFFFFF"/>
          </w:tcPr>
          <w:p>
            <w:r>
              <w:rPr>
                <w:sz w:val="20"/>
              </w:rPr>
              <w:t xml:space="preserve">Makes launch timing explicit and milestone based.</w:t>
            </w:r>
          </w:p>
        </w:tc>
        <w:tc>
          <w:tcPr>
            <w:tcW w:w="2360" w:type="dxa"/>
            <w:shd w:fill="FFFFFF"/>
          </w:tcPr>
          <w:p>
            <w:r>
              <w:rPr>
                <w:sz w:val="20"/>
              </w:rPr>
              <w:t xml:space="preserve">Actual license timing can materially vary by jurisdiction.</w:t>
            </w:r>
          </w:p>
        </w:tc>
      </w:tr>
    </w:tbl>
    <w:p>
      <w:pPr>
        <w:pStyle w:val="Heading1"/>
      </w:pPr>
      <w:r>
        <w:t xml:space="preserve">12. Key Risks and Limitations</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2500"/>
        <w:gridCol w:w="3300"/>
        <w:gridCol w:w="3560"/>
      </w:tblGrid>
      <w:tr>
        <w:tc>
          <w:tcPr>
            <w:tcW w:w="2500" w:type="dxa"/>
            <w:shd w:fill="E8EEF5"/>
          </w:tcPr>
          <w:p>
            <w:r>
              <w:rPr>
                <w:b/>
                <w:sz w:val="20"/>
              </w:rPr>
              <w:t xml:space="preserve">Risk</w:t>
            </w:r>
          </w:p>
        </w:tc>
        <w:tc>
          <w:tcPr>
            <w:tcW w:w="3300" w:type="dxa"/>
            <w:shd w:fill="E8EEF5"/>
          </w:tcPr>
          <w:p>
            <w:r>
              <w:rPr>
                <w:b/>
                <w:sz w:val="20"/>
              </w:rPr>
              <w:t xml:space="preserve">Why It Matters</w:t>
            </w:r>
          </w:p>
        </w:tc>
        <w:tc>
          <w:tcPr>
            <w:tcW w:w="3560" w:type="dxa"/>
            <w:shd w:fill="E8EEF5"/>
          </w:tcPr>
          <w:p>
            <w:r>
              <w:rPr>
                <w:b/>
                <w:sz w:val="20"/>
              </w:rPr>
              <w:t xml:space="preserve">Mitigation / Next Evidence</w:t>
            </w:r>
          </w:p>
        </w:tc>
      </w:tr>
      <w:tr>
        <w:tc>
          <w:tcPr>
            <w:tcW w:w="2500" w:type="dxa"/>
            <w:shd w:fill="FFFFFF"/>
          </w:tcPr>
          <w:p>
            <w:r>
              <w:rPr>
                <w:sz w:val="20"/>
              </w:rPr>
              <w:t xml:space="preserve">No live operating history</w:t>
            </w:r>
          </w:p>
        </w:tc>
        <w:tc>
          <w:tcPr>
            <w:tcW w:w="3300" w:type="dxa"/>
            <w:shd w:fill="FFFFFF"/>
          </w:tcPr>
          <w:p>
            <w:r>
              <w:rPr>
                <w:sz w:val="20"/>
              </w:rPr>
              <w:t xml:space="preserve">There is no real conversion, repayment, fraud, or servicing data yet.</w:t>
            </w:r>
          </w:p>
        </w:tc>
        <w:tc>
          <w:tcPr>
            <w:tcW w:w="3560" w:type="dxa"/>
            <w:shd w:fill="FFFFFF"/>
          </w:tcPr>
          <w:p>
            <w:r>
              <w:rPr>
                <w:sz w:val="20"/>
              </w:rPr>
              <w:t xml:space="preserve">Run Egypt pilot and refresh assumptions monthly using actual cohorts.</w:t>
            </w:r>
          </w:p>
        </w:tc>
      </w:tr>
      <w:tr>
        <w:tc>
          <w:tcPr>
            <w:tcW w:w="2500" w:type="dxa"/>
            <w:shd w:fill="FFFFFF"/>
          </w:tcPr>
          <w:p>
            <w:r>
              <w:rPr>
                <w:sz w:val="20"/>
              </w:rPr>
              <w:t xml:space="preserve">Regulatory approval timing</w:t>
            </w:r>
          </w:p>
        </w:tc>
        <w:tc>
          <w:tcPr>
            <w:tcW w:w="3300" w:type="dxa"/>
            <w:shd w:fill="FFFFFF"/>
          </w:tcPr>
          <w:p>
            <w:r>
              <w:rPr>
                <w:sz w:val="20"/>
              </w:rPr>
              <w:t xml:space="preserve">License delays can shift launch, revenue, cost, and valuation.</w:t>
            </w:r>
          </w:p>
        </w:tc>
        <w:tc>
          <w:tcPr>
            <w:tcW w:w="3560" w:type="dxa"/>
            <w:shd w:fill="FFFFFF"/>
          </w:tcPr>
          <w:p>
            <w:r>
              <w:rPr>
                <w:sz w:val="20"/>
              </w:rPr>
              <w:t xml:space="preserve">Maintain jurisdiction-by-jurisdiction license roadmap and counsel validation.</w:t>
            </w:r>
          </w:p>
        </w:tc>
      </w:tr>
      <w:tr>
        <w:tc>
          <w:tcPr>
            <w:tcW w:w="2500" w:type="dxa"/>
            <w:shd w:fill="FFFFFF"/>
          </w:tcPr>
          <w:p>
            <w:r>
              <w:rPr>
                <w:sz w:val="20"/>
              </w:rPr>
              <w:t xml:space="preserve">Credit performance uncertainty</w:t>
            </w:r>
          </w:p>
        </w:tc>
        <w:tc>
          <w:tcPr>
            <w:tcW w:w="3300" w:type="dxa"/>
            <w:shd w:fill="FFFFFF"/>
          </w:tcPr>
          <w:p>
            <w:r>
              <w:rPr>
                <w:sz w:val="20"/>
              </w:rPr>
              <w:t xml:space="preserve">SNPL economics depend on approval quality, repayment, fraud, and collections.</w:t>
            </w:r>
          </w:p>
        </w:tc>
        <w:tc>
          <w:tcPr>
            <w:tcW w:w="3560" w:type="dxa"/>
            <w:shd w:fill="FFFFFF"/>
          </w:tcPr>
          <w:p>
            <w:r>
              <w:rPr>
                <w:sz w:val="20"/>
              </w:rPr>
              <w:t xml:space="preserve">Build underwriting sandbox, ECL methodology, and repayment cohort reporting.</w:t>
            </w:r>
          </w:p>
        </w:tc>
      </w:tr>
      <w:tr>
        <w:tc>
          <w:tcPr>
            <w:tcW w:w="2500" w:type="dxa"/>
            <w:shd w:fill="FFFFFF"/>
          </w:tcPr>
          <w:p>
            <w:r>
              <w:rPr>
                <w:sz w:val="20"/>
              </w:rPr>
              <w:t xml:space="preserve">Partner activation risk</w:t>
            </w:r>
          </w:p>
        </w:tc>
        <w:tc>
          <w:tcPr>
            <w:tcW w:w="3300" w:type="dxa"/>
            <w:shd w:fill="FFFFFF"/>
          </w:tcPr>
          <w:p>
            <w:r>
              <w:rPr>
                <w:sz w:val="20"/>
              </w:rPr>
              <w:t xml:space="preserve">MTO, agent, creditor, and payout partner onboarding may take longer or cost more.</w:t>
            </w:r>
          </w:p>
        </w:tc>
        <w:tc>
          <w:tcPr>
            <w:tcW w:w="3560" w:type="dxa"/>
            <w:shd w:fill="FFFFFF"/>
          </w:tcPr>
          <w:p>
            <w:r>
              <w:rPr>
                <w:sz w:val="20"/>
              </w:rPr>
              <w:t xml:space="preserve">Use signed LOIs, milestone incentives, and integration acceptance tests.</w:t>
            </w:r>
          </w:p>
        </w:tc>
      </w:tr>
      <w:tr>
        <w:tc>
          <w:tcPr>
            <w:tcW w:w="2500" w:type="dxa"/>
            <w:shd w:fill="FFFFFF"/>
          </w:tcPr>
          <w:p>
            <w:r>
              <w:rPr>
                <w:sz w:val="20"/>
              </w:rPr>
              <w:t xml:space="preserve">Country expansion complexity</w:t>
            </w:r>
          </w:p>
        </w:tc>
        <w:tc>
          <w:tcPr>
            <w:tcW w:w="3300" w:type="dxa"/>
            <w:shd w:fill="FFFFFF"/>
          </w:tcPr>
          <w:p>
            <w:r>
              <w:rPr>
                <w:sz w:val="20"/>
              </w:rPr>
              <w:t xml:space="preserve">Phase 2 and Phase 3 introduce regulatory, operational, and currency complexity.</w:t>
            </w:r>
          </w:p>
        </w:tc>
        <w:tc>
          <w:tcPr>
            <w:tcW w:w="3560" w:type="dxa"/>
            <w:shd w:fill="FFFFFF"/>
          </w:tcPr>
          <w:p>
            <w:r>
              <w:rPr>
                <w:sz w:val="20"/>
              </w:rPr>
              <w:t xml:space="preserve">Gate each expansion on operating KPIs and compliance readiness.</w:t>
            </w:r>
          </w:p>
        </w:tc>
      </w:tr>
      <w:tr>
        <w:tc>
          <w:tcPr>
            <w:tcW w:w="2500" w:type="dxa"/>
            <w:shd w:fill="FFFFFF"/>
          </w:tcPr>
          <w:p>
            <w:r>
              <w:rPr>
                <w:sz w:val="20"/>
              </w:rPr>
              <w:t xml:space="preserve">Cost calibration risk</w:t>
            </w:r>
          </w:p>
        </w:tc>
        <w:tc>
          <w:tcPr>
            <w:tcW w:w="3300" w:type="dxa"/>
            <w:shd w:fill="FFFFFF"/>
          </w:tcPr>
          <w:p>
            <w:r>
              <w:rPr>
                <w:sz w:val="20"/>
              </w:rPr>
              <w:t xml:space="preserve">Vendor, cloud, cybersecurity, audit, legal, and staffing costs are estimates.</w:t>
            </w:r>
          </w:p>
        </w:tc>
        <w:tc>
          <w:tcPr>
            <w:tcW w:w="3560" w:type="dxa"/>
            <w:shd w:fill="FFFFFF"/>
          </w:tcPr>
          <w:p>
            <w:r>
              <w:rPr>
                <w:sz w:val="20"/>
              </w:rPr>
              <w:t xml:space="preserve">Replace estimates with quotes, hiring plan, and procurement evidence.</w:t>
            </w:r>
          </w:p>
        </w:tc>
      </w:tr>
    </w:tbl>
    <w:p>
      <w:pPr>
        <w:pStyle w:val="Heading1"/>
      </w:pPr>
      <w:r>
        <w:t xml:space="preserve">13. Recommended Investor Due Diligence Checklist</w:t>
      </w:r>
    </w:p>
    <w:p>
      <w:r>
        <w:t xml:space="preserve">- Validate the Aug 2026-May 2027 MVP and licensing plan with a detailed delivery roadmap.</w:t>
      </w:r>
    </w:p>
    <w:p>
      <w:r>
        <w:t xml:space="preserve">- Request country-by-country regulatory pathway, required capital, licensing costs, and legal opinions.</w:t>
      </w:r>
    </w:p>
    <w:p>
      <w:r>
        <w:t xml:space="preserve">- Review Egypt pilot KPIs before relying on Phase 2 and Phase 3 expansion assumptions.</w:t>
      </w:r>
    </w:p>
    <w:p>
      <w:r>
        <w:t xml:space="preserve">- Validate partner pipeline evidence for MTOs, agents, creditors, banks, and payout networks.</w:t>
      </w:r>
    </w:p>
    <w:p>
      <w:r>
        <w:t xml:space="preserve">- Challenge capture-rate assumptions by country and run sensitivity on lower market penetration.</w:t>
      </w:r>
    </w:p>
    <w:p>
      <w:r>
        <w:t xml:space="preserve">- Review underwriting policy, fraud controls, ECL methodology, collections model, and creditor risk sharing.</w:t>
      </w:r>
    </w:p>
    <w:p>
      <w:r>
        <w:t xml:space="preserve">- Request vendor quotes for cloud, database, KYC/AML, cybersecurity, legal, audit, and infrastructure costs.</w:t>
      </w:r>
    </w:p>
    <w:p>
      <w:r>
        <w:t xml:space="preserve">- Use milestone-based funding tranches tied to MVP completion, license progress, partner integration, pilot repayment, and transaction evidence.</w:t>
      </w:r>
    </w:p>
    <w:p>
      <w:pPr>
        <w:pStyle w:val="Heading1"/>
      </w:pPr>
      <w:r>
        <w:t xml:space="preserve">14. Glossary</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2300"/>
        <w:gridCol w:w="7060"/>
      </w:tblGrid>
      <w:tr>
        <w:tc>
          <w:tcPr>
            <w:tcW w:w="2300" w:type="dxa"/>
            <w:shd w:fill="E8EEF5"/>
          </w:tcPr>
          <w:p>
            <w:r>
              <w:rPr>
                <w:b/>
                <w:sz w:val="20"/>
              </w:rPr>
              <w:t xml:space="preserve">Term</w:t>
            </w:r>
          </w:p>
        </w:tc>
        <w:tc>
          <w:tcPr>
            <w:tcW w:w="7060" w:type="dxa"/>
            <w:shd w:fill="E8EEF5"/>
          </w:tcPr>
          <w:p>
            <w:r>
              <w:rPr>
                <w:b/>
                <w:sz w:val="20"/>
              </w:rPr>
              <w:t xml:space="preserve">Meaning in This Model</w:t>
            </w:r>
          </w:p>
        </w:tc>
      </w:tr>
      <w:tr>
        <w:tc>
          <w:tcPr>
            <w:tcW w:w="2300" w:type="dxa"/>
            <w:shd w:fill="FFFFFF"/>
          </w:tcPr>
          <w:p>
            <w:r>
              <w:rPr>
                <w:sz w:val="20"/>
              </w:rPr>
              <w:t xml:space="preserve">SNPL</w:t>
            </w:r>
          </w:p>
        </w:tc>
        <w:tc>
          <w:tcPr>
            <w:tcW w:w="7060" w:type="dxa"/>
            <w:shd w:fill="FFFFFF"/>
          </w:tcPr>
          <w:p>
            <w:r>
              <w:rPr>
                <w:sz w:val="20"/>
              </w:rPr>
              <w:t xml:space="preserve">Send Now, Pay Later. A remittance-linked credit feature allowing eligible customers to send funds before full repayment.</w:t>
            </w:r>
          </w:p>
        </w:tc>
      </w:tr>
      <w:tr>
        <w:tc>
          <w:tcPr>
            <w:tcW w:w="2300" w:type="dxa"/>
            <w:shd w:fill="FFFFFF"/>
          </w:tcPr>
          <w:p>
            <w:r>
              <w:rPr>
                <w:sz w:val="20"/>
              </w:rPr>
              <w:t xml:space="preserve">TAM</w:t>
            </w:r>
          </w:p>
        </w:tc>
        <w:tc>
          <w:tcPr>
            <w:tcW w:w="7060" w:type="dxa"/>
            <w:shd w:fill="FFFFFF"/>
          </w:tcPr>
          <w:p>
            <w:r>
              <w:rPr>
                <w:sz w:val="20"/>
              </w:rPr>
              <w:t xml:space="preserve">Total Addressable Market. The remittance volume pool used as the market base.</w:t>
            </w:r>
          </w:p>
        </w:tc>
      </w:tr>
      <w:tr>
        <w:tc>
          <w:tcPr>
            <w:tcW w:w="2300" w:type="dxa"/>
            <w:shd w:fill="FFFFFF"/>
          </w:tcPr>
          <w:p>
            <w:r>
              <w:rPr>
                <w:sz w:val="20"/>
              </w:rPr>
              <w:t xml:space="preserve">Captured Volume</w:t>
            </w:r>
          </w:p>
        </w:tc>
        <w:tc>
          <w:tcPr>
            <w:tcW w:w="7060" w:type="dxa"/>
            <w:shd w:fill="FFFFFF"/>
          </w:tcPr>
          <w:p>
            <w:r>
              <w:rPr>
                <w:sz w:val="20"/>
              </w:rPr>
              <w:t xml:space="preserve">The portion of TAM assumed to flow through CashLine based on capture-rate assumptions.</w:t>
            </w:r>
          </w:p>
        </w:tc>
      </w:tr>
      <w:tr>
        <w:tc>
          <w:tcPr>
            <w:tcW w:w="2300" w:type="dxa"/>
            <w:shd w:fill="FFFFFF"/>
          </w:tcPr>
          <w:p>
            <w:r>
              <w:rPr>
                <w:sz w:val="20"/>
              </w:rPr>
              <w:t xml:space="preserve">Average Ticket</w:t>
            </w:r>
          </w:p>
        </w:tc>
        <w:tc>
          <w:tcPr>
            <w:tcW w:w="7060" w:type="dxa"/>
            <w:shd w:fill="FFFFFF"/>
          </w:tcPr>
          <w:p>
            <w:r>
              <w:rPr>
                <w:sz w:val="20"/>
              </w:rPr>
              <w:t xml:space="preserve">Average transaction size used to convert captured volume into transaction count.</w:t>
            </w:r>
          </w:p>
        </w:tc>
      </w:tr>
      <w:tr>
        <w:tc>
          <w:tcPr>
            <w:tcW w:w="2300" w:type="dxa"/>
            <w:shd w:fill="FFFFFF"/>
          </w:tcPr>
          <w:p>
            <w:r>
              <w:rPr>
                <w:sz w:val="20"/>
              </w:rPr>
              <w:t xml:space="preserve">SNPL Attach</w:t>
            </w:r>
          </w:p>
        </w:tc>
        <w:tc>
          <w:tcPr>
            <w:tcW w:w="7060" w:type="dxa"/>
            <w:shd w:fill="FFFFFF"/>
          </w:tcPr>
          <w:p>
            <w:r>
              <w:rPr>
                <w:sz w:val="20"/>
              </w:rPr>
              <w:t xml:space="preserve">Share of transactions assumed to request or use SNPL.</w:t>
            </w:r>
          </w:p>
        </w:tc>
      </w:tr>
      <w:tr>
        <w:tc>
          <w:tcPr>
            <w:tcW w:w="2300" w:type="dxa"/>
            <w:shd w:fill="FFFFFF"/>
          </w:tcPr>
          <w:p>
            <w:r>
              <w:rPr>
                <w:sz w:val="20"/>
              </w:rPr>
              <w:t xml:space="preserve">Approval Rate</w:t>
            </w:r>
          </w:p>
        </w:tc>
        <w:tc>
          <w:tcPr>
            <w:tcW w:w="7060" w:type="dxa"/>
            <w:shd w:fill="FFFFFF"/>
          </w:tcPr>
          <w:p>
            <w:r>
              <w:rPr>
                <w:sz w:val="20"/>
              </w:rPr>
              <w:t xml:space="preserve">Share of SNPL applications approved by creditors or underwriting rules.</w:t>
            </w:r>
          </w:p>
        </w:tc>
      </w:tr>
      <w:tr>
        <w:tc>
          <w:tcPr>
            <w:tcW w:w="2300" w:type="dxa"/>
            <w:shd w:fill="FFFFFF"/>
          </w:tcPr>
          <w:p>
            <w:r>
              <w:rPr>
                <w:sz w:val="20"/>
              </w:rPr>
              <w:t xml:space="preserve">ECL</w:t>
            </w:r>
          </w:p>
        </w:tc>
        <w:tc>
          <w:tcPr>
            <w:tcW w:w="7060" w:type="dxa"/>
            <w:shd w:fill="FFFFFF"/>
          </w:tcPr>
          <w:p>
            <w:r>
              <w:rPr>
                <w:sz w:val="20"/>
              </w:rPr>
              <w:t xml:space="preserve">Expected Credit Loss. Planning estimate for credit losses on approved SNPL volume.</w:t>
            </w:r>
          </w:p>
        </w:tc>
      </w:tr>
      <w:tr>
        <w:tc>
          <w:tcPr>
            <w:tcW w:w="2300" w:type="dxa"/>
            <w:shd w:fill="FFFFFF"/>
          </w:tcPr>
          <w:p>
            <w:r>
              <w:rPr>
                <w:sz w:val="20"/>
              </w:rPr>
              <w:t xml:space="preserve">DCF</w:t>
            </w:r>
          </w:p>
        </w:tc>
        <w:tc>
          <w:tcPr>
            <w:tcW w:w="7060" w:type="dxa"/>
            <w:shd w:fill="FFFFFF"/>
          </w:tcPr>
          <w:p>
            <w:r>
              <w:rPr>
                <w:sz w:val="20"/>
              </w:rPr>
              <w:t xml:space="preserve">Discounted Cash Flow valuation method based on free cash flow and terminal value.</w:t>
            </w:r>
          </w:p>
        </w:tc>
      </w:tr>
      <w:tr>
        <w:tc>
          <w:tcPr>
            <w:tcW w:w="2300" w:type="dxa"/>
            <w:shd w:fill="FFFFFF"/>
          </w:tcPr>
          <w:p>
            <w:r>
              <w:rPr>
                <w:sz w:val="20"/>
              </w:rPr>
              <w:t xml:space="preserve">EV / Revenue</w:t>
            </w:r>
          </w:p>
        </w:tc>
        <w:tc>
          <w:tcPr>
            <w:tcW w:w="7060" w:type="dxa"/>
            <w:shd w:fill="FFFFFF"/>
          </w:tcPr>
          <w:p>
            <w:r>
              <w:rPr>
                <w:sz w:val="20"/>
              </w:rPr>
              <w:t xml:space="preserve">Enterprise value to revenue multiple used for platform-style valuation benchmarking.</w:t>
            </w:r>
          </w:p>
        </w:tc>
      </w:tr>
      <w:tr>
        <w:tc>
          <w:tcPr>
            <w:tcW w:w="2300" w:type="dxa"/>
            <w:shd w:fill="FFFFFF"/>
          </w:tcPr>
          <w:p>
            <w:r>
              <w:rPr>
                <w:sz w:val="20"/>
              </w:rPr>
              <w:t xml:space="preserve">BEP</w:t>
            </w:r>
          </w:p>
        </w:tc>
        <w:tc>
          <w:tcPr>
            <w:tcW w:w="7060" w:type="dxa"/>
            <w:shd w:fill="FFFFFF"/>
          </w:tcPr>
          <w:p>
            <w:r>
              <w:rPr>
                <w:sz w:val="20"/>
              </w:rPr>
              <w:t xml:space="preserve">Break-even point. The revenue or transaction scale required to cover operating costs.</w:t>
            </w:r>
          </w:p>
        </w:tc>
      </w:tr>
      <w:tr>
        <w:tc>
          <w:tcPr>
            <w:tcW w:w="2300" w:type="dxa"/>
            <w:shd w:fill="FFFFFF"/>
          </w:tcPr>
          <w:p>
            <w:r>
              <w:rPr>
                <w:sz w:val="20"/>
              </w:rPr>
              <w:t xml:space="preserve">Shared Cost Pool</w:t>
            </w:r>
          </w:p>
        </w:tc>
        <w:tc>
          <w:tcPr>
            <w:tcW w:w="7060" w:type="dxa"/>
            <w:shd w:fill="FFFFFF"/>
          </w:tcPr>
          <w:p>
            <w:r>
              <w:rPr>
                <w:sz w:val="20"/>
              </w:rPr>
              <w:t xml:space="preserve">Centralized platform cost allocated across active markets instead of duplicated by country.</w:t>
            </w:r>
          </w:p>
        </w:tc>
      </w:tr>
    </w:tbl>
    <w:p>
      <w:pPr>
        <w:pStyle w:val="Heading1"/>
      </w:pPr>
      <w:r>
        <w:t xml:space="preserve">15. Conclusion</w:t>
      </w:r>
    </w:p>
    <w:p>
      <w:r>
        <w:t xml:space="preserve">The global model supports an indicative scenario-weighted equity value of approximately USD 54.6M, based on a consolidated phased rollout and shared-cost platform design. The valuation is not based on current profitability. It is based on the ability to complete MVP and licensing, prove Egypt pilot economics, add Morocco and Philippines without duplicating fixed cost, and later expand into India and Indonesia using the same controlled platform layer.</w:t>
      </w:r>
    </w:p>
    <w:p>
      <w:r>
        <w:t xml:space="preserve">The model is investable only as a staged pre-go-live framework. The next valuation uplift should come from evidence: license progress, working MVP, signed partners, Egypt pilot transactions, repayment behavior, risk performance, operational cost proof, and validated unit economics.</w:t>
      </w:r>
    </w:p>
    <w:p>
      <w:r>
        <w:rPr>
          <w:i/>
        </w:rPr>
        <w:t xml:space="preserve">Prepared for investor and strategic planning use. This note should be read together with the global valuation workbook, source country models, and future pilot evidence. It is not an audited valuation, legal opinion, regulatory opinion, or investment recommendation.</w:t>
      </w:r>
    </w:p>
    <w:sectPr>
      <w:pgSz w:w="12240" w:h="15840"/>
      <w:pgMar w:top="1440" w:right="1440" w:bottom="1440" w:left="1440" w:header="708" w:footer="708"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Tajawal">
    <w:panose1 w:val="00000500000000000000"/>
    <w:charset w:val="B2"/>
    <w:family w:val="auto"/>
    <w:pitch w:val="variable"/>
    <w:sig w:usb0="8000202F" w:usb1="9000204A" w:usb2="00000008" w:usb3="00000000" w:csb0="0000004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D1D1C"/>
    <w:multiLevelType w:val="hybridMultilevel"/>
    <w:tmpl w:val="F718D9D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8802D40"/>
    <w:multiLevelType w:val="hybridMultilevel"/>
    <w:tmpl w:val="715078C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C72055E"/>
    <w:multiLevelType w:val="hybridMultilevel"/>
    <w:tmpl w:val="0F86C4B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B731800"/>
    <w:multiLevelType w:val="hybridMultilevel"/>
    <w:tmpl w:val="DC9C096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D6D4C57"/>
    <w:multiLevelType w:val="singleLevel"/>
    <w:tmpl w:val="C7A45140"/>
    <w:lvl w:ilvl="0">
      <w:start w:val="1"/>
      <w:numFmt w:val="bullet"/>
      <w:lvlText w:val="•"/>
      <w:lvlJc w:val="left"/>
      <w:pPr>
        <w:tabs>
          <w:tab w:val="num" w:pos="720"/>
        </w:tabs>
        <w:ind w:left="720" w:hanging="360"/>
      </w:pPr>
      <w:rPr>
        <w:rFonts w:ascii="Arial" w:hAnsi="Arial" w:hint="default"/>
      </w:rPr>
    </w:lvl>
  </w:abstractNum>
  <w:abstractNum w:abstractNumId="5" w15:restartNumberingAfterBreak="0">
    <w:nsid w:val="4DC72059"/>
    <w:multiLevelType w:val="hybridMultilevel"/>
    <w:tmpl w:val="5E0C733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3031012"/>
    <w:multiLevelType w:val="singleLevel"/>
    <w:tmpl w:val="0409000F"/>
    <w:lvl w:ilvl="0">
      <w:start w:val="1"/>
      <w:numFmt w:val="decimal"/>
      <w:lvlText w:val="%1."/>
      <w:lvlJc w:val="left"/>
      <w:pPr>
        <w:tabs>
          <w:tab w:val="num" w:pos="720"/>
        </w:tabs>
        <w:ind w:left="720" w:hanging="360"/>
      </w:pPr>
    </w:lvl>
  </w:abstractNum>
  <w:num w:numId="1" w16cid:durableId="535311032">
    <w:abstractNumId w:val="6"/>
  </w:num>
  <w:num w:numId="2" w16cid:durableId="470094458">
    <w:abstractNumId w:val="1"/>
  </w:num>
  <w:num w:numId="3" w16cid:durableId="371736333">
    <w:abstractNumId w:val="2"/>
  </w:num>
  <w:num w:numId="4" w16cid:durableId="1203056791">
    <w:abstractNumId w:val="5"/>
  </w:num>
  <w:num w:numId="5" w16cid:durableId="1708484424">
    <w:abstractNumId w:val="0"/>
  </w:num>
  <w:num w:numId="6" w16cid:durableId="20499170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5A0"/>
    <w:rsid w:val="0014709E"/>
    <w:rsid w:val="00800141"/>
    <w:rsid w:val="009475A0"/>
    <w:rsid w:val="00AD6E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7FD1CF0E"/>
  <w15:docId w15:val="{A6DE792E-BE21-604D-A44D-8D2A5A3C4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Y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0" w:line="300" w:lineRule="auto"/>
    </w:pPr>
    <w:rPr>
      <w:rFonts w:ascii="Arial" w:hAnsi="Arial"/>
      <w:color w:val="1F2933"/>
      <w:sz w:val="22"/>
    </w:rPr>
  </w:style>
  <w:style w:type="paragraph" w:styleId="Heading1">
    <w:name w:val="heading 1"/>
    <w:basedOn w:val="Normal"/>
    <w:next w:val="Normal"/>
    <w:uiPriority w:val="9"/>
    <w:qFormat/>
    <w:pPr>
      <w:keepNext/>
      <w:spacing w:before="320" w:after="100"/>
      <w:outlineLvl w:val="0"/>
    </w:pPr>
    <w:rPr>
      <w:b/>
      <w:color w:val="0F3557"/>
      <w:sz w:val="32"/>
    </w:rPr>
  </w:style>
  <w:style w:type="paragraph" w:styleId="Heading2">
    <w:name w:val="heading 2"/>
    <w:basedOn w:val="Normal"/>
    <w:next w:val="Normal"/>
    <w:uiPriority w:val="9"/>
    <w:semiHidden/>
    <w:unhideWhenUsed/>
    <w:qFormat/>
    <w:pPr>
      <w:keepNext/>
      <w:spacing w:before="220" w:after="80"/>
      <w:outlineLvl w:val="1"/>
    </w:pPr>
    <w:rPr>
      <w:b/>
      <w:color w:val="1F4E78"/>
      <w:sz w:val="26"/>
    </w:rPr>
  </w:style>
  <w:style w:type="paragraph" w:styleId="Heading3">
    <w:name w:val="heading 3"/>
    <w:basedOn w:val="Normal"/>
    <w:next w:val="Normal"/>
    <w:uiPriority w:val="9"/>
    <w:semiHidden/>
    <w:unhideWhenUsed/>
    <w:qFormat/>
    <w:pPr>
      <w:keepNext/>
      <w:spacing w:before="180" w:after="70"/>
      <w:outlineLvl w:val="2"/>
    </w:pPr>
    <w:rPr>
      <w:b/>
      <w:color w:val="1F4D78"/>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spacing w:after="80"/>
    </w:pPr>
    <w:rPr>
      <w:b/>
      <w:color w:val="0F3557"/>
      <w:sz w:val="48"/>
    </w:rPr>
  </w:style>
  <w:style w:type="paragraph" w:styleId="Subtitle">
    <w:name w:val="Subtitle"/>
    <w:basedOn w:val="Normal"/>
    <w:uiPriority w:val="11"/>
    <w:qFormat/>
    <w:pPr>
      <w:spacing w:after="220"/>
    </w:pPr>
    <w:rPr>
      <w:color w:val="555555"/>
      <w:sz w:val="26"/>
    </w:rPr>
  </w:style>
  <w:style w:type="paragraph" w:customStyle="1" w:styleId="Meta">
    <w:name w:val="Meta"/>
    <w:basedOn w:val="Normal"/>
    <w:pPr>
      <w:spacing w:after="220"/>
    </w:pPr>
    <w:rPr>
      <w:color w:val="46515D"/>
      <w:sz w:val="20"/>
    </w:rPr>
  </w:style>
  <w:style w:type="paragraph" w:customStyle="1" w:styleId="FooterNote">
    <w:name w:val="Footer Note"/>
    <w:basedOn w:val="Normal"/>
    <w:pPr>
      <w:spacing w:before="220" w:after="0"/>
    </w:pPr>
    <w:rPr>
      <w:color w:val="555555"/>
      <w:sz w:val="19"/>
    </w:rPr>
  </w:style>
  <w:style w:type="paragraph" w:styleId="ListParagraph">
    <w:name w:val="List Paragraph"/>
    <w:basedOn w:val="Normal"/>
    <w:uiPriority w:val="34"/>
    <w:qFormat/>
    <w:rsid w:val="00AD6E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2198</Words>
  <Characters>13656</Characters>
  <Application>Microsoft Office Word</Application>
  <DocSecurity>0</DocSecurity>
  <Lines>440</Lines>
  <Paragraphs>259</Paragraphs>
  <ScaleCrop>false</ScaleCrop>
  <Company>CashLine</Company>
  <LinksUpToDate>false</LinksUpToDate>
  <CharactersWithSpaces>15595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CashLine SNPL Valuation Model - Investor Methodology Note</dc:title>
  <dc:creator>OpenAI Codex</dc:creator>
  <cp:lastModifiedBy>Khalid Gabr</cp:lastModifiedBy>
  <cp:revision>3</cp:revision>
  <dcterms:created xsi:type="dcterms:W3CDTF">2026-05-19T19:12:00Z</dcterms:created>
  <dcterms:modified xsi:type="dcterms:W3CDTF">2026-05-20T08:57:00Z</dcterms:modified>
</cp:coreProperties>
</file>